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60CB7" w14:textId="77777777" w:rsidR="00896F76" w:rsidRPr="00CA34F5" w:rsidRDefault="00896F76" w:rsidP="000A4C31">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Gobierno del Estado de Tabasco</w:t>
      </w:r>
    </w:p>
    <w:p w14:paraId="6452CC0D" w14:textId="77777777" w:rsidR="00896F76" w:rsidRPr="00CA34F5" w:rsidRDefault="00896F76" w:rsidP="000A4C31">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Poder Ejecutivo</w:t>
      </w:r>
    </w:p>
    <w:p w14:paraId="11B39520" w14:textId="3C311E36" w:rsidR="007A3AC5" w:rsidRPr="00CA34F5" w:rsidRDefault="00896F76" w:rsidP="00891BA4">
      <w:pPr>
        <w:pStyle w:val="Ttulo1"/>
        <w:spacing w:before="0" w:line="240" w:lineRule="auto"/>
        <w:rPr>
          <w:rFonts w:ascii="Arial" w:eastAsia="Times New Roman" w:hAnsi="Arial" w:cs="Arial"/>
          <w:b/>
          <w:bCs w:val="0"/>
          <w:color w:val="000000"/>
          <w:sz w:val="22"/>
          <w:szCs w:val="22"/>
          <w:lang w:eastAsia="es-MX"/>
        </w:rPr>
      </w:pPr>
      <w:r w:rsidRPr="00CA34F5">
        <w:rPr>
          <w:rFonts w:ascii="Arial" w:hAnsi="Arial" w:cs="Arial"/>
          <w:b/>
          <w:color w:val="auto"/>
          <w:sz w:val="22"/>
          <w:szCs w:val="22"/>
        </w:rPr>
        <w:t>Nota</w:t>
      </w:r>
      <w:r w:rsidR="007D5997" w:rsidRPr="00CA34F5">
        <w:rPr>
          <w:rFonts w:ascii="Arial" w:hAnsi="Arial" w:cs="Arial"/>
          <w:b/>
          <w:color w:val="auto"/>
          <w:sz w:val="22"/>
          <w:szCs w:val="22"/>
        </w:rPr>
        <w:t>s</w:t>
      </w:r>
      <w:r w:rsidRPr="00CA34F5">
        <w:rPr>
          <w:rFonts w:ascii="Arial" w:hAnsi="Arial" w:cs="Arial"/>
          <w:b/>
          <w:color w:val="auto"/>
          <w:sz w:val="22"/>
          <w:szCs w:val="22"/>
        </w:rPr>
        <w:t xml:space="preserve"> a los Estados Financieros</w:t>
      </w:r>
      <w:r w:rsidR="007A3AC5" w:rsidRPr="00CA34F5">
        <w:rPr>
          <w:rFonts w:ascii="Arial" w:hAnsi="Arial" w:cs="Arial"/>
          <w:b/>
          <w:color w:val="auto"/>
          <w:sz w:val="22"/>
          <w:szCs w:val="22"/>
        </w:rPr>
        <w:t xml:space="preserve"> </w:t>
      </w:r>
      <w:r w:rsidR="007D5997" w:rsidRPr="00CA34F5">
        <w:rPr>
          <w:rFonts w:ascii="Arial" w:eastAsia="Times New Roman" w:hAnsi="Arial" w:cs="Arial"/>
          <w:b/>
          <w:bCs w:val="0"/>
          <w:color w:val="000000"/>
          <w:sz w:val="22"/>
          <w:szCs w:val="22"/>
          <w:lang w:eastAsia="es-MX"/>
        </w:rPr>
        <w:t>a</w:t>
      </w:r>
      <w:r w:rsidR="009B44A5" w:rsidRPr="00CA34F5">
        <w:rPr>
          <w:rFonts w:ascii="Arial" w:eastAsia="Times New Roman" w:hAnsi="Arial" w:cs="Arial"/>
          <w:b/>
          <w:bCs w:val="0"/>
          <w:color w:val="000000"/>
          <w:sz w:val="22"/>
          <w:szCs w:val="22"/>
          <w:lang w:eastAsia="es-MX"/>
        </w:rPr>
        <w:t xml:space="preserve">l </w:t>
      </w:r>
      <w:r w:rsidR="009671F5" w:rsidRPr="00CA34F5">
        <w:rPr>
          <w:rFonts w:ascii="Arial" w:eastAsia="Times New Roman" w:hAnsi="Arial" w:cs="Arial"/>
          <w:b/>
          <w:bCs w:val="0"/>
          <w:color w:val="000000"/>
          <w:sz w:val="22"/>
          <w:szCs w:val="22"/>
          <w:lang w:eastAsia="es-MX"/>
        </w:rPr>
        <w:t>31 de diciembre</w:t>
      </w:r>
      <w:r w:rsidR="009B44A5" w:rsidRPr="00CA34F5">
        <w:rPr>
          <w:rFonts w:ascii="Arial" w:eastAsia="Times New Roman" w:hAnsi="Arial" w:cs="Arial"/>
          <w:b/>
          <w:bCs w:val="0"/>
          <w:color w:val="000000"/>
          <w:sz w:val="22"/>
          <w:szCs w:val="22"/>
          <w:lang w:eastAsia="es-MX"/>
        </w:rPr>
        <w:t xml:space="preserve"> 2021</w:t>
      </w:r>
    </w:p>
    <w:p w14:paraId="65252947" w14:textId="77777777" w:rsidR="00685CC9" w:rsidRPr="00CA34F5" w:rsidRDefault="00685CC9" w:rsidP="000A4C31">
      <w:pPr>
        <w:spacing w:after="0" w:line="240" w:lineRule="auto"/>
        <w:rPr>
          <w:rFonts w:ascii="Arial" w:hAnsi="Arial" w:cs="Arial"/>
          <w:b/>
        </w:rPr>
      </w:pPr>
    </w:p>
    <w:p w14:paraId="5DAD7031" w14:textId="77777777" w:rsidR="00685CC9" w:rsidRPr="00CA34F5" w:rsidRDefault="00685CC9" w:rsidP="000A4C31">
      <w:pPr>
        <w:spacing w:after="0" w:line="240" w:lineRule="auto"/>
        <w:rPr>
          <w:rFonts w:ascii="Arial" w:hAnsi="Arial" w:cs="Arial"/>
          <w:b/>
        </w:rPr>
      </w:pPr>
    </w:p>
    <w:p w14:paraId="564E6A2C" w14:textId="2AB6A9D1" w:rsidR="00F50FB6" w:rsidRPr="00CA34F5" w:rsidRDefault="00F50FB6" w:rsidP="000A4C31">
      <w:pPr>
        <w:spacing w:after="0" w:line="240" w:lineRule="auto"/>
        <w:rPr>
          <w:rFonts w:ascii="Arial" w:hAnsi="Arial" w:cs="Arial"/>
          <w:b/>
        </w:rPr>
      </w:pPr>
      <w:r w:rsidRPr="00CA34F5">
        <w:rPr>
          <w:rFonts w:ascii="Arial" w:hAnsi="Arial" w:cs="Arial"/>
          <w:b/>
        </w:rPr>
        <w:t xml:space="preserve">a) </w:t>
      </w:r>
      <w:r w:rsidR="001D7B1C" w:rsidRPr="00CA34F5">
        <w:rPr>
          <w:rFonts w:ascii="Arial" w:hAnsi="Arial" w:cs="Arial"/>
          <w:b/>
        </w:rPr>
        <w:t>NOTAS DE DESGLOSE</w:t>
      </w:r>
    </w:p>
    <w:p w14:paraId="194C05CF" w14:textId="77777777" w:rsidR="00F50FB6" w:rsidRPr="00CA34F5" w:rsidRDefault="00F50FB6" w:rsidP="000A4C31">
      <w:pPr>
        <w:spacing w:after="0" w:line="240" w:lineRule="auto"/>
        <w:rPr>
          <w:rFonts w:ascii="Arial" w:hAnsi="Arial" w:cs="Arial"/>
        </w:rPr>
      </w:pPr>
    </w:p>
    <w:p w14:paraId="7EF384DB" w14:textId="77777777" w:rsidR="001D7B1C" w:rsidRPr="00CA34F5" w:rsidRDefault="001D7B1C" w:rsidP="000A4C31">
      <w:pPr>
        <w:spacing w:after="0" w:line="240" w:lineRule="auto"/>
        <w:rPr>
          <w:rFonts w:ascii="Arial" w:hAnsi="Arial" w:cs="Arial"/>
        </w:rPr>
      </w:pPr>
    </w:p>
    <w:p w14:paraId="1D9A0763" w14:textId="4FD1267D" w:rsidR="00F50FB6" w:rsidRPr="00CA34F5" w:rsidRDefault="00F50FB6" w:rsidP="000A4C31">
      <w:pPr>
        <w:spacing w:after="0" w:line="240" w:lineRule="auto"/>
        <w:jc w:val="left"/>
        <w:rPr>
          <w:rFonts w:ascii="Arial" w:hAnsi="Arial" w:cs="Arial"/>
          <w:b/>
        </w:rPr>
      </w:pPr>
      <w:r w:rsidRPr="00CA34F5">
        <w:rPr>
          <w:rFonts w:ascii="Arial" w:eastAsia="DIN Next LT Pro" w:hAnsi="Arial" w:cs="Arial"/>
          <w:b/>
        </w:rPr>
        <w:t>I</w:t>
      </w:r>
      <w:r w:rsidRPr="00CA34F5">
        <w:rPr>
          <w:rFonts w:ascii="Arial" w:hAnsi="Arial" w:cs="Arial"/>
          <w:b/>
        </w:rPr>
        <w:t xml:space="preserve">) </w:t>
      </w:r>
      <w:r w:rsidR="001D7B1C" w:rsidRPr="00CA34F5">
        <w:rPr>
          <w:rFonts w:ascii="Arial" w:hAnsi="Arial" w:cs="Arial"/>
          <w:b/>
        </w:rPr>
        <w:t>NOTAS AL ESTADO DE SITUACION FINANCIERA</w:t>
      </w:r>
    </w:p>
    <w:p w14:paraId="391A2B85" w14:textId="77777777" w:rsidR="00F50FB6" w:rsidRPr="00CA34F5" w:rsidRDefault="00F50FB6" w:rsidP="000A4C31">
      <w:pPr>
        <w:spacing w:after="0" w:line="240" w:lineRule="auto"/>
        <w:rPr>
          <w:rFonts w:ascii="Arial" w:hAnsi="Arial" w:cs="Arial"/>
        </w:rPr>
      </w:pPr>
    </w:p>
    <w:p w14:paraId="5DE64217" w14:textId="77777777" w:rsidR="002708A1" w:rsidRPr="00CA34F5" w:rsidRDefault="002708A1" w:rsidP="000A4C31">
      <w:pPr>
        <w:spacing w:after="0" w:line="240" w:lineRule="auto"/>
        <w:rPr>
          <w:rFonts w:ascii="Arial" w:hAnsi="Arial" w:cs="Arial"/>
        </w:rPr>
      </w:pPr>
    </w:p>
    <w:p w14:paraId="711E3AAC" w14:textId="0B8C5CD8" w:rsidR="00B15290" w:rsidRPr="00CA34F5" w:rsidRDefault="00AC276D" w:rsidP="000A4C31">
      <w:pPr>
        <w:spacing w:after="0" w:line="240" w:lineRule="auto"/>
        <w:jc w:val="both"/>
        <w:rPr>
          <w:rFonts w:ascii="Arial" w:hAnsi="Arial" w:cs="Arial"/>
          <w:b/>
        </w:rPr>
      </w:pPr>
      <w:r w:rsidRPr="00CA34F5">
        <w:rPr>
          <w:rFonts w:ascii="Arial" w:hAnsi="Arial" w:cs="Arial"/>
          <w:b/>
        </w:rPr>
        <w:t>ACTIVO</w:t>
      </w:r>
    </w:p>
    <w:p w14:paraId="2E78B128" w14:textId="77777777" w:rsidR="007D5997" w:rsidRPr="00CA34F5" w:rsidRDefault="007D5997" w:rsidP="000A4C31">
      <w:pPr>
        <w:spacing w:after="0" w:line="240" w:lineRule="auto"/>
        <w:jc w:val="both"/>
        <w:rPr>
          <w:rFonts w:ascii="Arial" w:hAnsi="Arial" w:cs="Arial"/>
          <w:b/>
        </w:rPr>
      </w:pPr>
    </w:p>
    <w:p w14:paraId="1FB8FA59" w14:textId="5A4760C2" w:rsidR="00B15290" w:rsidRPr="00CA34F5" w:rsidRDefault="00B15290" w:rsidP="000A4C31">
      <w:pPr>
        <w:spacing w:after="0" w:line="240" w:lineRule="auto"/>
        <w:jc w:val="both"/>
        <w:rPr>
          <w:rFonts w:ascii="Arial" w:hAnsi="Arial" w:cs="Arial"/>
          <w:b/>
          <w:u w:val="single"/>
        </w:rPr>
      </w:pPr>
      <w:r w:rsidRPr="00CA34F5">
        <w:rPr>
          <w:rFonts w:ascii="Arial" w:hAnsi="Arial" w:cs="Arial"/>
          <w:b/>
          <w:u w:val="single"/>
        </w:rPr>
        <w:t>Efectivo y Equivalentes</w:t>
      </w:r>
      <w:r w:rsidR="00CC028F" w:rsidRPr="00CA34F5">
        <w:rPr>
          <w:rFonts w:ascii="Arial" w:hAnsi="Arial" w:cs="Arial"/>
          <w:b/>
          <w:u w:val="single"/>
        </w:rPr>
        <w:t xml:space="preserve">                                   </w:t>
      </w:r>
    </w:p>
    <w:p w14:paraId="3AB23AAA" w14:textId="77777777" w:rsidR="00F50669" w:rsidRPr="00CA34F5" w:rsidRDefault="00F50669" w:rsidP="000A4C31">
      <w:pPr>
        <w:spacing w:after="0" w:line="240" w:lineRule="auto"/>
        <w:jc w:val="left"/>
        <w:rPr>
          <w:rFonts w:ascii="Arial" w:hAnsi="Arial" w:cs="Arial"/>
          <w:b/>
        </w:rPr>
      </w:pPr>
    </w:p>
    <w:p w14:paraId="35FA4F4D" w14:textId="6DCA5D39" w:rsidR="00361C1D" w:rsidRPr="00CA34F5" w:rsidRDefault="00D25936" w:rsidP="00361C1D">
      <w:pPr>
        <w:spacing w:line="240" w:lineRule="auto"/>
        <w:jc w:val="left"/>
        <w:rPr>
          <w:rFonts w:ascii="Arial" w:hAnsi="Arial" w:cs="Arial"/>
        </w:rPr>
      </w:pPr>
      <w:r w:rsidRPr="00CA34F5">
        <w:rPr>
          <w:rFonts w:ascii="Arial" w:hAnsi="Arial" w:cs="Arial"/>
        </w:rPr>
        <w:t xml:space="preserve">Este </w:t>
      </w:r>
      <w:r w:rsidR="006814FC" w:rsidRPr="00CA34F5">
        <w:rPr>
          <w:rFonts w:ascii="Arial" w:hAnsi="Arial" w:cs="Arial"/>
        </w:rPr>
        <w:t>rubro es</w:t>
      </w:r>
      <w:r w:rsidR="00EF7CA2" w:rsidRPr="00CA34F5">
        <w:rPr>
          <w:rFonts w:ascii="Arial" w:hAnsi="Arial" w:cs="Arial"/>
        </w:rPr>
        <w:t>tá</w:t>
      </w:r>
      <w:r w:rsidR="006814FC" w:rsidRPr="00CA34F5">
        <w:rPr>
          <w:rFonts w:ascii="Arial" w:hAnsi="Arial" w:cs="Arial"/>
        </w:rPr>
        <w:t xml:space="preserve"> integrado como sigue:</w:t>
      </w:r>
    </w:p>
    <w:tbl>
      <w:tblPr>
        <w:tblW w:w="7186" w:type="dxa"/>
        <w:jc w:val="center"/>
        <w:tblCellMar>
          <w:left w:w="70" w:type="dxa"/>
          <w:right w:w="70" w:type="dxa"/>
        </w:tblCellMar>
        <w:tblLook w:val="04A0" w:firstRow="1" w:lastRow="0" w:firstColumn="1" w:lastColumn="0" w:noHBand="0" w:noVBand="1"/>
      </w:tblPr>
      <w:tblGrid>
        <w:gridCol w:w="4120"/>
        <w:gridCol w:w="1966"/>
        <w:gridCol w:w="1100"/>
      </w:tblGrid>
      <w:tr w:rsidR="00A50A87" w:rsidRPr="00CA34F5" w14:paraId="2B090295" w14:textId="77777777" w:rsidTr="004C7E8C">
        <w:trPr>
          <w:trHeight w:val="852"/>
          <w:jc w:val="center"/>
        </w:trPr>
        <w:tc>
          <w:tcPr>
            <w:tcW w:w="4120" w:type="dxa"/>
            <w:tcBorders>
              <w:top w:val="single" w:sz="8" w:space="0" w:color="000000"/>
              <w:left w:val="single" w:sz="8" w:space="0" w:color="000000"/>
              <w:bottom w:val="single" w:sz="8" w:space="0" w:color="000000"/>
              <w:right w:val="single" w:sz="8" w:space="0" w:color="000000"/>
            </w:tcBorders>
            <w:shd w:val="clear" w:color="000000" w:fill="A6A6A6"/>
            <w:vAlign w:val="center"/>
            <w:hideMark/>
          </w:tcPr>
          <w:p w14:paraId="0AE7F863" w14:textId="77777777" w:rsidR="00A50A87" w:rsidRPr="00CA34F5" w:rsidRDefault="00A50A87" w:rsidP="003E3C3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Cuentas de Mayor que integran el rubro de Efectivo y Equivalentes</w:t>
            </w:r>
          </w:p>
        </w:tc>
        <w:tc>
          <w:tcPr>
            <w:tcW w:w="1966" w:type="dxa"/>
            <w:tcBorders>
              <w:top w:val="single" w:sz="8" w:space="0" w:color="000000"/>
              <w:left w:val="nil"/>
              <w:bottom w:val="single" w:sz="8" w:space="0" w:color="000000"/>
              <w:right w:val="single" w:sz="8" w:space="0" w:color="000000"/>
            </w:tcBorders>
            <w:shd w:val="clear" w:color="000000" w:fill="A6A6A6"/>
            <w:vAlign w:val="center"/>
            <w:hideMark/>
          </w:tcPr>
          <w:p w14:paraId="0030A0C5" w14:textId="435D8DB7" w:rsidR="00A50A87" w:rsidRPr="00CA34F5" w:rsidRDefault="00A50A87" w:rsidP="003E3C3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Saldos </w:t>
            </w:r>
            <w:r w:rsidR="00425E11" w:rsidRPr="00CA34F5">
              <w:rPr>
                <w:rFonts w:ascii="Arial" w:eastAsia="Times New Roman" w:hAnsi="Arial" w:cs="Arial"/>
                <w:b/>
                <w:bCs/>
                <w:color w:val="000000"/>
                <w:lang w:eastAsia="es-MX"/>
              </w:rPr>
              <w:t>al 31 diciembre 2021</w:t>
            </w:r>
          </w:p>
        </w:tc>
        <w:tc>
          <w:tcPr>
            <w:tcW w:w="1100" w:type="dxa"/>
            <w:tcBorders>
              <w:top w:val="single" w:sz="8" w:space="0" w:color="000000"/>
              <w:left w:val="nil"/>
              <w:bottom w:val="single" w:sz="8" w:space="0" w:color="000000"/>
              <w:right w:val="single" w:sz="8" w:space="0" w:color="000000"/>
            </w:tcBorders>
            <w:shd w:val="clear" w:color="000000" w:fill="A6A6A6"/>
            <w:vAlign w:val="center"/>
            <w:hideMark/>
          </w:tcPr>
          <w:p w14:paraId="64945EE2" w14:textId="77777777" w:rsidR="00A50A87" w:rsidRPr="00CA34F5" w:rsidRDefault="00A50A87" w:rsidP="003E3C3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w:t>
            </w:r>
          </w:p>
        </w:tc>
      </w:tr>
      <w:tr w:rsidR="00A50A87" w:rsidRPr="00CA34F5" w14:paraId="44F501D2" w14:textId="77777777" w:rsidTr="004C7E8C">
        <w:trPr>
          <w:trHeight w:val="458"/>
          <w:jc w:val="center"/>
        </w:trPr>
        <w:tc>
          <w:tcPr>
            <w:tcW w:w="4120" w:type="dxa"/>
            <w:tcBorders>
              <w:top w:val="nil"/>
              <w:left w:val="single" w:sz="8" w:space="0" w:color="000000"/>
              <w:bottom w:val="single" w:sz="8" w:space="0" w:color="auto"/>
              <w:right w:val="single" w:sz="8" w:space="0" w:color="000000"/>
            </w:tcBorders>
            <w:shd w:val="clear" w:color="auto" w:fill="auto"/>
            <w:noWrap/>
            <w:vAlign w:val="center"/>
            <w:hideMark/>
          </w:tcPr>
          <w:p w14:paraId="13B4E75F" w14:textId="77777777" w:rsidR="00A50A87" w:rsidRPr="00CA34F5" w:rsidRDefault="00A50A87" w:rsidP="00A50A87">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xml:space="preserve">Bancos/Tesorería  </w:t>
            </w:r>
          </w:p>
        </w:tc>
        <w:tc>
          <w:tcPr>
            <w:tcW w:w="1966" w:type="dxa"/>
            <w:tcBorders>
              <w:top w:val="nil"/>
              <w:left w:val="nil"/>
              <w:bottom w:val="single" w:sz="8" w:space="0" w:color="auto"/>
              <w:right w:val="single" w:sz="8" w:space="0" w:color="000000"/>
            </w:tcBorders>
            <w:shd w:val="clear" w:color="auto" w:fill="auto"/>
            <w:vAlign w:val="center"/>
            <w:hideMark/>
          </w:tcPr>
          <w:p w14:paraId="1E1CE7CD" w14:textId="77777777" w:rsidR="00A50A87" w:rsidRPr="00CA34F5" w:rsidRDefault="00A50A87" w:rsidP="003E3C3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902,326,932</w:t>
            </w:r>
          </w:p>
        </w:tc>
        <w:tc>
          <w:tcPr>
            <w:tcW w:w="1100" w:type="dxa"/>
            <w:tcBorders>
              <w:top w:val="nil"/>
              <w:left w:val="nil"/>
              <w:bottom w:val="single" w:sz="8" w:space="0" w:color="auto"/>
              <w:right w:val="single" w:sz="8" w:space="0" w:color="000000"/>
            </w:tcBorders>
            <w:shd w:val="clear" w:color="auto" w:fill="auto"/>
            <w:vAlign w:val="center"/>
            <w:hideMark/>
          </w:tcPr>
          <w:p w14:paraId="55F57777" w14:textId="585FA974" w:rsidR="00A50A87" w:rsidRPr="00CA34F5" w:rsidRDefault="005B063C" w:rsidP="003E3C3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28.05</w:t>
            </w:r>
          </w:p>
        </w:tc>
      </w:tr>
      <w:tr w:rsidR="00A50A87" w:rsidRPr="00CA34F5" w14:paraId="26DF555E" w14:textId="77777777" w:rsidTr="004C7E8C">
        <w:trPr>
          <w:trHeight w:val="409"/>
          <w:jc w:val="center"/>
        </w:trPr>
        <w:tc>
          <w:tcPr>
            <w:tcW w:w="4120" w:type="dxa"/>
            <w:tcBorders>
              <w:top w:val="nil"/>
              <w:left w:val="single" w:sz="8" w:space="0" w:color="000000"/>
              <w:bottom w:val="single" w:sz="8" w:space="0" w:color="000000"/>
              <w:right w:val="single" w:sz="8" w:space="0" w:color="000000"/>
            </w:tcBorders>
            <w:shd w:val="clear" w:color="auto" w:fill="auto"/>
            <w:vAlign w:val="center"/>
            <w:hideMark/>
          </w:tcPr>
          <w:p w14:paraId="0653BD38" w14:textId="77777777" w:rsidR="00A50A87" w:rsidRPr="00CA34F5" w:rsidRDefault="00A50A87" w:rsidP="00A50A87">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Bancos/Dependencias y Otros</w:t>
            </w:r>
          </w:p>
        </w:tc>
        <w:tc>
          <w:tcPr>
            <w:tcW w:w="1966" w:type="dxa"/>
            <w:tcBorders>
              <w:top w:val="nil"/>
              <w:left w:val="nil"/>
              <w:bottom w:val="single" w:sz="8" w:space="0" w:color="000000"/>
              <w:right w:val="single" w:sz="8" w:space="0" w:color="000000"/>
            </w:tcBorders>
            <w:shd w:val="clear" w:color="auto" w:fill="auto"/>
            <w:vAlign w:val="center"/>
            <w:hideMark/>
          </w:tcPr>
          <w:p w14:paraId="558EBE59" w14:textId="77777777" w:rsidR="00A50A87" w:rsidRPr="00CA34F5" w:rsidRDefault="00A50A87" w:rsidP="003E3C3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608,369,518</w:t>
            </w:r>
          </w:p>
        </w:tc>
        <w:tc>
          <w:tcPr>
            <w:tcW w:w="1100" w:type="dxa"/>
            <w:tcBorders>
              <w:top w:val="nil"/>
              <w:left w:val="nil"/>
              <w:bottom w:val="single" w:sz="8" w:space="0" w:color="000000"/>
              <w:right w:val="single" w:sz="8" w:space="0" w:color="000000"/>
            </w:tcBorders>
            <w:shd w:val="clear" w:color="auto" w:fill="auto"/>
            <w:vAlign w:val="center"/>
            <w:hideMark/>
          </w:tcPr>
          <w:p w14:paraId="60292E3A" w14:textId="0DCD57F8" w:rsidR="00A50A87" w:rsidRPr="00CA34F5" w:rsidRDefault="005B063C" w:rsidP="003E3C3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18.91</w:t>
            </w:r>
          </w:p>
        </w:tc>
      </w:tr>
      <w:tr w:rsidR="00A50A87" w:rsidRPr="00CA34F5" w14:paraId="2ADBB7A8" w14:textId="77777777" w:rsidTr="004C7E8C">
        <w:trPr>
          <w:trHeight w:val="420"/>
          <w:jc w:val="center"/>
        </w:trPr>
        <w:tc>
          <w:tcPr>
            <w:tcW w:w="4120" w:type="dxa"/>
            <w:tcBorders>
              <w:top w:val="nil"/>
              <w:left w:val="single" w:sz="8" w:space="0" w:color="000000"/>
              <w:bottom w:val="single" w:sz="8" w:space="0" w:color="000000"/>
              <w:right w:val="single" w:sz="8" w:space="0" w:color="000000"/>
            </w:tcBorders>
            <w:shd w:val="clear" w:color="auto" w:fill="auto"/>
            <w:vAlign w:val="center"/>
            <w:hideMark/>
          </w:tcPr>
          <w:p w14:paraId="60DAB902" w14:textId="77777777" w:rsidR="00A50A87" w:rsidRPr="00CA34F5" w:rsidRDefault="00A50A87" w:rsidP="00A50A87">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Inversiones Temporales</w:t>
            </w:r>
          </w:p>
        </w:tc>
        <w:tc>
          <w:tcPr>
            <w:tcW w:w="1966" w:type="dxa"/>
            <w:tcBorders>
              <w:top w:val="nil"/>
              <w:left w:val="nil"/>
              <w:bottom w:val="single" w:sz="8" w:space="0" w:color="000000"/>
              <w:right w:val="single" w:sz="8" w:space="0" w:color="000000"/>
            </w:tcBorders>
            <w:shd w:val="clear" w:color="auto" w:fill="auto"/>
            <w:vAlign w:val="center"/>
            <w:hideMark/>
          </w:tcPr>
          <w:p w14:paraId="41F874F7" w14:textId="77777777" w:rsidR="00A50A87" w:rsidRPr="00CA34F5" w:rsidRDefault="00A50A87" w:rsidP="003E3C3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1,706,000,000</w:t>
            </w:r>
          </w:p>
        </w:tc>
        <w:tc>
          <w:tcPr>
            <w:tcW w:w="1100" w:type="dxa"/>
            <w:tcBorders>
              <w:top w:val="nil"/>
              <w:left w:val="nil"/>
              <w:bottom w:val="single" w:sz="8" w:space="0" w:color="000000"/>
              <w:right w:val="single" w:sz="8" w:space="0" w:color="000000"/>
            </w:tcBorders>
            <w:shd w:val="clear" w:color="auto" w:fill="auto"/>
            <w:vAlign w:val="center"/>
            <w:hideMark/>
          </w:tcPr>
          <w:p w14:paraId="73AC0F81" w14:textId="3B5CEC65" w:rsidR="00A50A87" w:rsidRPr="00CA34F5" w:rsidRDefault="005B063C" w:rsidP="003E3C3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53.04</w:t>
            </w:r>
          </w:p>
        </w:tc>
      </w:tr>
      <w:tr w:rsidR="00A50A87" w:rsidRPr="00CA34F5" w14:paraId="02493DC6" w14:textId="77777777" w:rsidTr="004C7E8C">
        <w:trPr>
          <w:trHeight w:val="315"/>
          <w:jc w:val="center"/>
        </w:trPr>
        <w:tc>
          <w:tcPr>
            <w:tcW w:w="4120" w:type="dxa"/>
            <w:tcBorders>
              <w:top w:val="nil"/>
              <w:left w:val="single" w:sz="8" w:space="0" w:color="000000"/>
              <w:bottom w:val="single" w:sz="8" w:space="0" w:color="000000"/>
              <w:right w:val="single" w:sz="8" w:space="0" w:color="000000"/>
            </w:tcBorders>
            <w:shd w:val="clear" w:color="auto" w:fill="auto"/>
            <w:vAlign w:val="center"/>
            <w:hideMark/>
          </w:tcPr>
          <w:p w14:paraId="4A21822B" w14:textId="77777777" w:rsidR="00A50A87" w:rsidRPr="00CA34F5" w:rsidRDefault="00A50A87" w:rsidP="003E3C32">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Total</w:t>
            </w:r>
          </w:p>
        </w:tc>
        <w:tc>
          <w:tcPr>
            <w:tcW w:w="1966" w:type="dxa"/>
            <w:tcBorders>
              <w:top w:val="nil"/>
              <w:left w:val="nil"/>
              <w:bottom w:val="single" w:sz="8" w:space="0" w:color="000000"/>
              <w:right w:val="single" w:sz="8" w:space="0" w:color="000000"/>
            </w:tcBorders>
            <w:shd w:val="clear" w:color="auto" w:fill="auto"/>
            <w:vAlign w:val="center"/>
            <w:hideMark/>
          </w:tcPr>
          <w:p w14:paraId="028B992C" w14:textId="77777777" w:rsidR="00A50A87" w:rsidRPr="00CA34F5" w:rsidRDefault="00A50A87" w:rsidP="003E3C32">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3,216,696,450</w:t>
            </w:r>
          </w:p>
        </w:tc>
        <w:tc>
          <w:tcPr>
            <w:tcW w:w="1100" w:type="dxa"/>
            <w:tcBorders>
              <w:top w:val="nil"/>
              <w:left w:val="nil"/>
              <w:bottom w:val="single" w:sz="8" w:space="0" w:color="000000"/>
              <w:right w:val="single" w:sz="8" w:space="0" w:color="000000"/>
            </w:tcBorders>
            <w:shd w:val="clear" w:color="auto" w:fill="auto"/>
            <w:vAlign w:val="center"/>
            <w:hideMark/>
          </w:tcPr>
          <w:p w14:paraId="407FCF87" w14:textId="19990C17" w:rsidR="00A50A87" w:rsidRPr="00CA34F5" w:rsidRDefault="00D95712" w:rsidP="003E3C3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100</w:t>
            </w:r>
          </w:p>
        </w:tc>
      </w:tr>
    </w:tbl>
    <w:p w14:paraId="1BBE0D4C" w14:textId="77777777" w:rsidR="00A50A87" w:rsidRPr="00CA34F5" w:rsidRDefault="00A50A87" w:rsidP="00361C1D">
      <w:pPr>
        <w:spacing w:line="240" w:lineRule="auto"/>
        <w:jc w:val="left"/>
        <w:rPr>
          <w:rFonts w:ascii="Arial" w:hAnsi="Arial" w:cs="Arial"/>
        </w:rPr>
      </w:pPr>
    </w:p>
    <w:p w14:paraId="5E0A831F" w14:textId="77777777" w:rsidR="00425E11" w:rsidRPr="00CA34F5" w:rsidRDefault="00425E11" w:rsidP="00425E11">
      <w:pPr>
        <w:jc w:val="both"/>
        <w:rPr>
          <w:rFonts w:ascii="Arial" w:hAnsi="Arial" w:cs="Arial"/>
        </w:rPr>
      </w:pPr>
      <w:r w:rsidRPr="00CA34F5">
        <w:rPr>
          <w:rFonts w:ascii="Arial" w:hAnsi="Arial" w:cs="Arial"/>
          <w:b/>
        </w:rPr>
        <w:t xml:space="preserve">Bancos/Tesorería: </w:t>
      </w:r>
      <w:r w:rsidRPr="00CA34F5">
        <w:rPr>
          <w:rFonts w:ascii="Arial" w:hAnsi="Arial" w:cs="Arial"/>
        </w:rPr>
        <w:t>El total de cuentas bancarias al 31 de diciembre del 2020, cotejado con los registros de la Dirección de Tesorería fue de 506, en el transcurso del año 2021 han sido canceladas 214 y abiertas 101, quedando en total 393 cuentas activas, más 2 cuentas contables canceladas en proceso de depuración. Los saldos manifestados involucran algunos montos reportados en las respectivas conciliaciones como pendientes de corresponder y cuyas reclasificaciones están en proceso.</w:t>
      </w:r>
    </w:p>
    <w:p w14:paraId="5455326C" w14:textId="77777777" w:rsidR="00425E11" w:rsidRPr="00CA34F5" w:rsidRDefault="00425E11" w:rsidP="00425E11">
      <w:pPr>
        <w:jc w:val="both"/>
        <w:rPr>
          <w:rFonts w:ascii="Arial" w:hAnsi="Arial" w:cs="Arial"/>
        </w:rPr>
      </w:pPr>
      <w:r w:rsidRPr="00CA34F5">
        <w:rPr>
          <w:rFonts w:ascii="Arial" w:hAnsi="Arial" w:cs="Arial"/>
          <w:b/>
        </w:rPr>
        <w:t>Bancos/Dependencias</w:t>
      </w:r>
      <w:r w:rsidRPr="00CA34F5">
        <w:rPr>
          <w:rFonts w:ascii="Arial" w:hAnsi="Arial" w:cs="Arial"/>
        </w:rPr>
        <w:t>: Existe un total de 557 cuentas bancarias correspondiente a los movimientos bancarios de cada una de las 17 dependencias y 4 órganos desconcentrados, los cuales fueron cotejados contra los registros contables de la balanza de comprobación al 31 de diciembre de 2021. Los saldos manifestados involucran algunos montos reportados en las respectivas conciliaciones como pendientes de corresponder y cuyas reclasificaciones están en proceso.</w:t>
      </w:r>
    </w:p>
    <w:p w14:paraId="637C443B" w14:textId="77777777" w:rsidR="00425E11" w:rsidRPr="00CA34F5" w:rsidRDefault="00425E11" w:rsidP="00425E11">
      <w:pPr>
        <w:jc w:val="both"/>
        <w:rPr>
          <w:rFonts w:ascii="Arial" w:hAnsi="Arial" w:cs="Arial"/>
        </w:rPr>
      </w:pPr>
      <w:r w:rsidRPr="00CA34F5">
        <w:rPr>
          <w:rFonts w:ascii="Arial" w:hAnsi="Arial" w:cs="Arial"/>
          <w:b/>
        </w:rPr>
        <w:lastRenderedPageBreak/>
        <w:t>Inversiones Temporales:</w:t>
      </w:r>
      <w:r w:rsidRPr="00CA34F5">
        <w:rPr>
          <w:rFonts w:ascii="Arial" w:hAnsi="Arial" w:cs="Arial"/>
        </w:rPr>
        <w:t xml:space="preserve"> Al 31 de diciembre de 2020 existían 22 cuentas bancarias de inversión cotejado con los registros de la Dirección de Tesorería, de las cuales en el transcurso del ejercicio 2021 se cancelaron 2 cuentas quedando un total de 20 activas.</w:t>
      </w:r>
    </w:p>
    <w:p w14:paraId="0A638599" w14:textId="77777777" w:rsidR="006D5342" w:rsidRPr="00CA34F5" w:rsidRDefault="006D5342" w:rsidP="000A4C31">
      <w:pPr>
        <w:spacing w:after="0" w:line="240" w:lineRule="auto"/>
        <w:jc w:val="both"/>
        <w:rPr>
          <w:rFonts w:ascii="Arial" w:hAnsi="Arial" w:cs="Arial"/>
          <w:b/>
          <w:u w:val="single"/>
        </w:rPr>
      </w:pPr>
    </w:p>
    <w:p w14:paraId="35ADCEA8" w14:textId="5C7ABF74" w:rsidR="006D5342" w:rsidRPr="00CA34F5" w:rsidRDefault="00AC276D" w:rsidP="000A4C31">
      <w:pPr>
        <w:spacing w:after="0" w:line="240" w:lineRule="auto"/>
        <w:jc w:val="both"/>
        <w:rPr>
          <w:rFonts w:ascii="Arial" w:hAnsi="Arial" w:cs="Arial"/>
          <w:b/>
          <w:u w:val="single"/>
        </w:rPr>
      </w:pPr>
      <w:r w:rsidRPr="00CA34F5">
        <w:rPr>
          <w:rFonts w:ascii="Arial" w:hAnsi="Arial" w:cs="Arial"/>
          <w:b/>
          <w:u w:val="single"/>
        </w:rPr>
        <w:t>Derechos a recibir Efectivo y Equivalentes y Bienes o Servicios a Recibir</w:t>
      </w:r>
    </w:p>
    <w:p w14:paraId="05C58CCA" w14:textId="77777777" w:rsidR="00B15290" w:rsidRPr="00CA34F5" w:rsidRDefault="00B15290" w:rsidP="000A4C31">
      <w:pPr>
        <w:spacing w:after="0" w:line="240" w:lineRule="auto"/>
        <w:jc w:val="both"/>
        <w:rPr>
          <w:rFonts w:ascii="Arial" w:hAnsi="Arial" w:cs="Arial"/>
          <w:b/>
        </w:rPr>
      </w:pPr>
    </w:p>
    <w:p w14:paraId="39C9FB31" w14:textId="6E8C3D7F" w:rsidR="001A3D99" w:rsidRPr="00CA34F5" w:rsidRDefault="00293FB5" w:rsidP="000A4C31">
      <w:pPr>
        <w:spacing w:after="160" w:line="240" w:lineRule="auto"/>
        <w:jc w:val="left"/>
        <w:rPr>
          <w:rFonts w:ascii="Arial" w:hAnsi="Arial" w:cs="Arial"/>
        </w:rPr>
      </w:pPr>
      <w:r w:rsidRPr="00CA34F5">
        <w:rPr>
          <w:rFonts w:ascii="Arial" w:hAnsi="Arial" w:cs="Arial"/>
        </w:rPr>
        <w:t>Derechos a Recibir Efectivo y Equivalentes</w:t>
      </w:r>
      <w:r w:rsidR="007F1A55">
        <w:rPr>
          <w:rFonts w:ascii="Arial" w:hAnsi="Arial" w:cs="Arial"/>
        </w:rPr>
        <w:t xml:space="preserve"> se integra </w:t>
      </w:r>
      <w:r w:rsidR="0067431C" w:rsidRPr="00CA34F5">
        <w:rPr>
          <w:rFonts w:ascii="Arial" w:hAnsi="Arial" w:cs="Arial"/>
        </w:rPr>
        <w:t xml:space="preserve"> como sigue:</w:t>
      </w:r>
      <w:r w:rsidRPr="00CA34F5">
        <w:rPr>
          <w:rFonts w:ascii="Arial" w:hAnsi="Arial" w:cs="Arial"/>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3837"/>
        <w:gridCol w:w="1701"/>
        <w:gridCol w:w="1398"/>
      </w:tblGrid>
      <w:tr w:rsidR="00267429" w:rsidRPr="00CA34F5" w14:paraId="6ADA3580" w14:textId="77777777" w:rsidTr="00457B47">
        <w:trPr>
          <w:trHeight w:val="480"/>
          <w:jc w:val="center"/>
        </w:trPr>
        <w:tc>
          <w:tcPr>
            <w:tcW w:w="3837" w:type="dxa"/>
            <w:tcBorders>
              <w:top w:val="single" w:sz="8" w:space="0" w:color="000000"/>
              <w:left w:val="single" w:sz="8" w:space="0" w:color="000000"/>
              <w:bottom w:val="nil"/>
              <w:right w:val="single" w:sz="8" w:space="0" w:color="000000"/>
            </w:tcBorders>
            <w:shd w:val="clear" w:color="000000" w:fill="A6A6A6"/>
            <w:vAlign w:val="center"/>
            <w:hideMark/>
          </w:tcPr>
          <w:p w14:paraId="66AED700" w14:textId="77777777" w:rsidR="00267429" w:rsidRPr="00CA34F5" w:rsidRDefault="00267429" w:rsidP="001A3D99">
            <w:pPr>
              <w:spacing w:after="160" w:line="240" w:lineRule="auto"/>
              <w:jc w:val="left"/>
              <w:rPr>
                <w:rFonts w:ascii="Arial" w:hAnsi="Arial" w:cs="Arial"/>
                <w:b/>
                <w:bCs/>
              </w:rPr>
            </w:pPr>
            <w:r w:rsidRPr="00CA34F5">
              <w:rPr>
                <w:rFonts w:ascii="Arial" w:hAnsi="Arial" w:cs="Arial"/>
                <w:b/>
                <w:bCs/>
              </w:rPr>
              <w:t>Cuentas de mayor que integran Derechos a recibir Efectivo y Equivalentes</w:t>
            </w:r>
          </w:p>
        </w:tc>
        <w:tc>
          <w:tcPr>
            <w:tcW w:w="1701" w:type="dxa"/>
            <w:tcBorders>
              <w:top w:val="single" w:sz="8" w:space="0" w:color="000000"/>
              <w:left w:val="nil"/>
              <w:bottom w:val="nil"/>
              <w:right w:val="single" w:sz="8" w:space="0" w:color="000000"/>
            </w:tcBorders>
            <w:shd w:val="clear" w:color="000000" w:fill="A6A6A6"/>
            <w:vAlign w:val="center"/>
            <w:hideMark/>
          </w:tcPr>
          <w:p w14:paraId="5C7B04B9" w14:textId="036FF17D" w:rsidR="00267429" w:rsidRPr="00CA34F5" w:rsidRDefault="00267429" w:rsidP="001A3D99">
            <w:pPr>
              <w:spacing w:after="160" w:line="240" w:lineRule="auto"/>
              <w:rPr>
                <w:rFonts w:ascii="Arial" w:hAnsi="Arial" w:cs="Arial"/>
                <w:b/>
                <w:bCs/>
              </w:rPr>
            </w:pPr>
            <w:r w:rsidRPr="00CA34F5">
              <w:rPr>
                <w:rFonts w:ascii="Arial" w:hAnsi="Arial" w:cs="Arial"/>
                <w:b/>
                <w:bCs/>
              </w:rPr>
              <w:t>Saldos al 31 diciembre 2021</w:t>
            </w:r>
          </w:p>
        </w:tc>
        <w:tc>
          <w:tcPr>
            <w:tcW w:w="1398" w:type="dxa"/>
            <w:tcBorders>
              <w:top w:val="single" w:sz="8" w:space="0" w:color="000000"/>
              <w:left w:val="nil"/>
              <w:bottom w:val="nil"/>
              <w:right w:val="single" w:sz="8" w:space="0" w:color="000000"/>
            </w:tcBorders>
            <w:shd w:val="clear" w:color="000000" w:fill="A6A6A6"/>
            <w:vAlign w:val="center"/>
            <w:hideMark/>
          </w:tcPr>
          <w:p w14:paraId="7671125B" w14:textId="77777777" w:rsidR="00267429" w:rsidRPr="00CA34F5" w:rsidRDefault="00267429" w:rsidP="001A3D99">
            <w:pPr>
              <w:spacing w:after="160" w:line="240" w:lineRule="auto"/>
              <w:rPr>
                <w:rFonts w:ascii="Arial" w:hAnsi="Arial" w:cs="Arial"/>
                <w:b/>
                <w:bCs/>
              </w:rPr>
            </w:pPr>
            <w:r w:rsidRPr="00CA34F5">
              <w:rPr>
                <w:rFonts w:ascii="Arial" w:hAnsi="Arial" w:cs="Arial"/>
                <w:b/>
                <w:bCs/>
              </w:rPr>
              <w:t>%</w:t>
            </w:r>
          </w:p>
        </w:tc>
      </w:tr>
      <w:tr w:rsidR="00267429" w:rsidRPr="00CA34F5" w14:paraId="01387C16" w14:textId="78829809" w:rsidTr="00457B47">
        <w:trPr>
          <w:trHeight w:val="136"/>
          <w:jc w:val="center"/>
        </w:trPr>
        <w:tc>
          <w:tcPr>
            <w:tcW w:w="3837" w:type="dxa"/>
            <w:tcBorders>
              <w:top w:val="nil"/>
              <w:left w:val="single" w:sz="8" w:space="0" w:color="auto"/>
              <w:bottom w:val="single" w:sz="8" w:space="0" w:color="auto"/>
              <w:right w:val="single" w:sz="8" w:space="0" w:color="auto"/>
            </w:tcBorders>
            <w:shd w:val="clear" w:color="auto" w:fill="auto"/>
            <w:vAlign w:val="center"/>
            <w:hideMark/>
          </w:tcPr>
          <w:p w14:paraId="504366DC" w14:textId="036844A6" w:rsidR="00267429" w:rsidRPr="00CA34F5" w:rsidRDefault="00267429" w:rsidP="00043716">
            <w:pPr>
              <w:spacing w:after="160" w:line="240" w:lineRule="auto"/>
              <w:jc w:val="left"/>
              <w:rPr>
                <w:rFonts w:ascii="Arial" w:hAnsi="Arial" w:cs="Arial"/>
              </w:rPr>
            </w:pPr>
            <w:r w:rsidRPr="00CA34F5">
              <w:rPr>
                <w:rFonts w:ascii="Arial" w:hAnsi="Arial" w:cs="Arial"/>
              </w:rPr>
              <w:t xml:space="preserve"> Deudores Diversos por Cobrar a Corto Plazo</w:t>
            </w:r>
          </w:p>
        </w:tc>
        <w:tc>
          <w:tcPr>
            <w:tcW w:w="1701" w:type="dxa"/>
            <w:tcBorders>
              <w:top w:val="nil"/>
              <w:left w:val="nil"/>
              <w:bottom w:val="single" w:sz="8" w:space="0" w:color="auto"/>
              <w:right w:val="single" w:sz="8" w:space="0" w:color="auto"/>
            </w:tcBorders>
            <w:shd w:val="clear" w:color="000000" w:fill="FFFFFF"/>
            <w:vAlign w:val="center"/>
            <w:hideMark/>
          </w:tcPr>
          <w:p w14:paraId="44CDED66" w14:textId="324B5A69" w:rsidR="00267429" w:rsidRPr="00CA34F5" w:rsidRDefault="00267429" w:rsidP="00043716">
            <w:pPr>
              <w:jc w:val="right"/>
              <w:rPr>
                <w:rFonts w:ascii="Arial" w:hAnsi="Arial" w:cs="Arial"/>
                <w:color w:val="000000"/>
              </w:rPr>
            </w:pPr>
            <w:r w:rsidRPr="00CA34F5">
              <w:rPr>
                <w:rFonts w:ascii="Arial" w:hAnsi="Arial" w:cs="Arial"/>
                <w:color w:val="000000"/>
              </w:rPr>
              <w:t>603,826,288</w:t>
            </w:r>
          </w:p>
        </w:tc>
        <w:tc>
          <w:tcPr>
            <w:tcW w:w="1398" w:type="dxa"/>
            <w:tcBorders>
              <w:top w:val="nil"/>
              <w:left w:val="nil"/>
              <w:bottom w:val="single" w:sz="8" w:space="0" w:color="auto"/>
              <w:right w:val="single" w:sz="8" w:space="0" w:color="auto"/>
            </w:tcBorders>
            <w:shd w:val="clear" w:color="auto" w:fill="auto"/>
            <w:vAlign w:val="center"/>
            <w:hideMark/>
          </w:tcPr>
          <w:p w14:paraId="2B1935FA" w14:textId="566EB4B6" w:rsidR="00267429" w:rsidRPr="00CA34F5" w:rsidRDefault="00267429" w:rsidP="00043716">
            <w:pPr>
              <w:spacing w:after="160" w:line="240" w:lineRule="auto"/>
              <w:rPr>
                <w:rFonts w:ascii="Arial" w:hAnsi="Arial" w:cs="Arial"/>
              </w:rPr>
            </w:pPr>
            <w:r w:rsidRPr="00CA34F5">
              <w:rPr>
                <w:rFonts w:ascii="Arial" w:hAnsi="Arial" w:cs="Arial"/>
              </w:rPr>
              <w:t>88.37</w:t>
            </w:r>
          </w:p>
        </w:tc>
      </w:tr>
      <w:tr w:rsidR="00267429" w:rsidRPr="00CA34F5" w14:paraId="50897A6E" w14:textId="73DFF6B9" w:rsidTr="00457B47">
        <w:trPr>
          <w:trHeight w:val="315"/>
          <w:jc w:val="center"/>
        </w:trPr>
        <w:tc>
          <w:tcPr>
            <w:tcW w:w="3837" w:type="dxa"/>
            <w:tcBorders>
              <w:top w:val="nil"/>
              <w:left w:val="single" w:sz="8" w:space="0" w:color="auto"/>
              <w:bottom w:val="single" w:sz="8" w:space="0" w:color="auto"/>
              <w:right w:val="single" w:sz="8" w:space="0" w:color="auto"/>
            </w:tcBorders>
            <w:shd w:val="clear" w:color="auto" w:fill="auto"/>
            <w:vAlign w:val="center"/>
            <w:hideMark/>
          </w:tcPr>
          <w:p w14:paraId="6EFCF74F" w14:textId="521E3C64" w:rsidR="00267429" w:rsidRPr="00CA34F5" w:rsidRDefault="00267429" w:rsidP="00043716">
            <w:pPr>
              <w:spacing w:after="160" w:line="240" w:lineRule="auto"/>
              <w:jc w:val="left"/>
              <w:rPr>
                <w:rFonts w:ascii="Arial" w:hAnsi="Arial" w:cs="Arial"/>
              </w:rPr>
            </w:pPr>
            <w:r w:rsidRPr="00CA34F5">
              <w:rPr>
                <w:rFonts w:ascii="Arial" w:hAnsi="Arial" w:cs="Arial"/>
              </w:rPr>
              <w:t xml:space="preserve"> Ingresos por Recuperar a corto Plazo</w:t>
            </w:r>
          </w:p>
        </w:tc>
        <w:tc>
          <w:tcPr>
            <w:tcW w:w="1701" w:type="dxa"/>
            <w:tcBorders>
              <w:top w:val="nil"/>
              <w:left w:val="nil"/>
              <w:bottom w:val="single" w:sz="8" w:space="0" w:color="auto"/>
              <w:right w:val="single" w:sz="8" w:space="0" w:color="auto"/>
            </w:tcBorders>
            <w:shd w:val="clear" w:color="000000" w:fill="FFFFFF"/>
            <w:vAlign w:val="center"/>
            <w:hideMark/>
          </w:tcPr>
          <w:p w14:paraId="79A88F0D" w14:textId="1E902787" w:rsidR="00267429" w:rsidRPr="00CA34F5" w:rsidRDefault="00267429" w:rsidP="00043716">
            <w:pPr>
              <w:spacing w:after="160" w:line="240" w:lineRule="auto"/>
              <w:jc w:val="right"/>
              <w:rPr>
                <w:rFonts w:ascii="Arial" w:hAnsi="Arial" w:cs="Arial"/>
              </w:rPr>
            </w:pPr>
            <w:r w:rsidRPr="00CA34F5">
              <w:rPr>
                <w:rFonts w:ascii="Arial" w:hAnsi="Arial" w:cs="Arial"/>
              </w:rPr>
              <w:t>39,314,775</w:t>
            </w:r>
          </w:p>
        </w:tc>
        <w:tc>
          <w:tcPr>
            <w:tcW w:w="1398" w:type="dxa"/>
            <w:tcBorders>
              <w:top w:val="nil"/>
              <w:left w:val="nil"/>
              <w:bottom w:val="single" w:sz="8" w:space="0" w:color="auto"/>
              <w:right w:val="single" w:sz="8" w:space="0" w:color="auto"/>
            </w:tcBorders>
            <w:shd w:val="clear" w:color="auto" w:fill="auto"/>
            <w:vAlign w:val="center"/>
            <w:hideMark/>
          </w:tcPr>
          <w:p w14:paraId="5284ED1E" w14:textId="18D74765" w:rsidR="00267429" w:rsidRPr="00CA34F5" w:rsidRDefault="00267429" w:rsidP="00043716">
            <w:pPr>
              <w:spacing w:after="160" w:line="240" w:lineRule="auto"/>
              <w:rPr>
                <w:rFonts w:ascii="Arial" w:hAnsi="Arial" w:cs="Arial"/>
              </w:rPr>
            </w:pPr>
            <w:r w:rsidRPr="00CA34F5">
              <w:rPr>
                <w:rFonts w:ascii="Arial" w:hAnsi="Arial" w:cs="Arial"/>
              </w:rPr>
              <w:t>5.75</w:t>
            </w:r>
          </w:p>
        </w:tc>
      </w:tr>
      <w:tr w:rsidR="00267429" w:rsidRPr="00CA34F5" w14:paraId="7C4ECBCC" w14:textId="01E0BBE1" w:rsidTr="00457B47">
        <w:trPr>
          <w:trHeight w:val="271"/>
          <w:jc w:val="center"/>
        </w:trPr>
        <w:tc>
          <w:tcPr>
            <w:tcW w:w="3837" w:type="dxa"/>
            <w:tcBorders>
              <w:top w:val="nil"/>
              <w:left w:val="single" w:sz="8" w:space="0" w:color="auto"/>
              <w:bottom w:val="single" w:sz="8" w:space="0" w:color="auto"/>
              <w:right w:val="single" w:sz="8" w:space="0" w:color="auto"/>
            </w:tcBorders>
            <w:shd w:val="clear" w:color="auto" w:fill="auto"/>
            <w:vAlign w:val="center"/>
            <w:hideMark/>
          </w:tcPr>
          <w:p w14:paraId="452AA255" w14:textId="2702B187" w:rsidR="00267429" w:rsidRPr="00CA34F5" w:rsidRDefault="00267429" w:rsidP="00043716">
            <w:pPr>
              <w:spacing w:after="160" w:line="240" w:lineRule="auto"/>
              <w:jc w:val="left"/>
              <w:rPr>
                <w:rFonts w:ascii="Arial" w:hAnsi="Arial" w:cs="Arial"/>
              </w:rPr>
            </w:pPr>
            <w:r w:rsidRPr="00CA34F5">
              <w:rPr>
                <w:rFonts w:ascii="Arial" w:hAnsi="Arial" w:cs="Arial"/>
              </w:rPr>
              <w:t xml:space="preserve"> Deudores por Anticipos de la Tesorería a Corto Plazo</w:t>
            </w:r>
          </w:p>
        </w:tc>
        <w:tc>
          <w:tcPr>
            <w:tcW w:w="1701" w:type="dxa"/>
            <w:tcBorders>
              <w:top w:val="nil"/>
              <w:left w:val="nil"/>
              <w:bottom w:val="single" w:sz="8" w:space="0" w:color="auto"/>
              <w:right w:val="single" w:sz="8" w:space="0" w:color="auto"/>
            </w:tcBorders>
            <w:shd w:val="clear" w:color="000000" w:fill="FFFFFF"/>
            <w:vAlign w:val="center"/>
            <w:hideMark/>
          </w:tcPr>
          <w:p w14:paraId="0FA25E97" w14:textId="10DCDB45" w:rsidR="00267429" w:rsidRPr="00CA34F5" w:rsidRDefault="00267429" w:rsidP="000F732F">
            <w:pPr>
              <w:jc w:val="right"/>
              <w:rPr>
                <w:rFonts w:ascii="Arial" w:hAnsi="Arial" w:cs="Arial"/>
                <w:color w:val="000000"/>
              </w:rPr>
            </w:pPr>
            <w:r w:rsidRPr="00CA34F5">
              <w:rPr>
                <w:rFonts w:ascii="Arial" w:eastAsia="Times New Roman" w:hAnsi="Arial" w:cs="Arial"/>
                <w:color w:val="000000"/>
                <w:lang w:eastAsia="es-MX"/>
              </w:rPr>
              <w:t>31,358,999</w:t>
            </w:r>
          </w:p>
        </w:tc>
        <w:tc>
          <w:tcPr>
            <w:tcW w:w="1398" w:type="dxa"/>
            <w:tcBorders>
              <w:top w:val="nil"/>
              <w:left w:val="nil"/>
              <w:bottom w:val="single" w:sz="8" w:space="0" w:color="auto"/>
              <w:right w:val="single" w:sz="8" w:space="0" w:color="auto"/>
            </w:tcBorders>
            <w:shd w:val="clear" w:color="auto" w:fill="auto"/>
            <w:vAlign w:val="center"/>
            <w:hideMark/>
          </w:tcPr>
          <w:p w14:paraId="631373D0" w14:textId="54027F16" w:rsidR="00267429" w:rsidRPr="00CA34F5" w:rsidRDefault="00267429" w:rsidP="002146AA">
            <w:pPr>
              <w:spacing w:after="160" w:line="240" w:lineRule="auto"/>
              <w:rPr>
                <w:rFonts w:ascii="Arial" w:hAnsi="Arial" w:cs="Arial"/>
              </w:rPr>
            </w:pPr>
            <w:r w:rsidRPr="00CA34F5">
              <w:rPr>
                <w:rFonts w:ascii="Arial" w:hAnsi="Arial" w:cs="Arial"/>
              </w:rPr>
              <w:t>4,59</w:t>
            </w:r>
          </w:p>
        </w:tc>
      </w:tr>
      <w:tr w:rsidR="00267429" w:rsidRPr="00CA34F5" w14:paraId="60CF987C" w14:textId="26DC27E9" w:rsidTr="00457B47">
        <w:trPr>
          <w:trHeight w:val="263"/>
          <w:jc w:val="center"/>
        </w:trPr>
        <w:tc>
          <w:tcPr>
            <w:tcW w:w="3837" w:type="dxa"/>
            <w:tcBorders>
              <w:top w:val="nil"/>
              <w:left w:val="single" w:sz="8" w:space="0" w:color="auto"/>
              <w:bottom w:val="single" w:sz="8" w:space="0" w:color="auto"/>
              <w:right w:val="single" w:sz="8" w:space="0" w:color="auto"/>
            </w:tcBorders>
            <w:shd w:val="clear" w:color="auto" w:fill="auto"/>
            <w:vAlign w:val="center"/>
            <w:hideMark/>
          </w:tcPr>
          <w:p w14:paraId="75ED5E1F" w14:textId="077160C4" w:rsidR="00267429" w:rsidRPr="00CA34F5" w:rsidRDefault="00267429" w:rsidP="00043716">
            <w:pPr>
              <w:spacing w:after="160" w:line="240" w:lineRule="auto"/>
              <w:jc w:val="left"/>
              <w:rPr>
                <w:rFonts w:ascii="Arial" w:hAnsi="Arial" w:cs="Arial"/>
              </w:rPr>
            </w:pPr>
            <w:r w:rsidRPr="00CA34F5">
              <w:rPr>
                <w:rFonts w:ascii="Arial" w:hAnsi="Arial" w:cs="Arial"/>
              </w:rPr>
              <w:t xml:space="preserve"> Otros Derechos a Recibir Efectivo o Equivalentes a Corto Plazo</w:t>
            </w:r>
          </w:p>
        </w:tc>
        <w:tc>
          <w:tcPr>
            <w:tcW w:w="1701" w:type="dxa"/>
            <w:tcBorders>
              <w:top w:val="nil"/>
              <w:left w:val="nil"/>
              <w:bottom w:val="single" w:sz="8" w:space="0" w:color="auto"/>
              <w:right w:val="single" w:sz="8" w:space="0" w:color="auto"/>
            </w:tcBorders>
            <w:shd w:val="clear" w:color="000000" w:fill="FFFFFF"/>
            <w:vAlign w:val="center"/>
            <w:hideMark/>
          </w:tcPr>
          <w:p w14:paraId="2E40C5C5" w14:textId="7E65F804" w:rsidR="00267429" w:rsidRPr="00CA34F5" w:rsidRDefault="00267429" w:rsidP="00043716">
            <w:pPr>
              <w:jc w:val="right"/>
              <w:rPr>
                <w:rFonts w:ascii="Arial" w:hAnsi="Arial" w:cs="Arial"/>
                <w:color w:val="000000"/>
              </w:rPr>
            </w:pPr>
            <w:r w:rsidRPr="00CA34F5">
              <w:rPr>
                <w:rFonts w:ascii="Arial" w:hAnsi="Arial" w:cs="Arial"/>
                <w:color w:val="000000"/>
              </w:rPr>
              <w:t>8,819,504</w:t>
            </w:r>
          </w:p>
        </w:tc>
        <w:tc>
          <w:tcPr>
            <w:tcW w:w="1398" w:type="dxa"/>
            <w:tcBorders>
              <w:top w:val="nil"/>
              <w:left w:val="nil"/>
              <w:bottom w:val="single" w:sz="8" w:space="0" w:color="auto"/>
              <w:right w:val="single" w:sz="8" w:space="0" w:color="auto"/>
            </w:tcBorders>
            <w:shd w:val="clear" w:color="auto" w:fill="auto"/>
            <w:vAlign w:val="center"/>
            <w:hideMark/>
          </w:tcPr>
          <w:p w14:paraId="05EFEFCF" w14:textId="63CDEA39" w:rsidR="00267429" w:rsidRPr="00CA34F5" w:rsidRDefault="00267429" w:rsidP="00043716">
            <w:pPr>
              <w:spacing w:after="160" w:line="240" w:lineRule="auto"/>
              <w:rPr>
                <w:rFonts w:ascii="Arial" w:hAnsi="Arial" w:cs="Arial"/>
              </w:rPr>
            </w:pPr>
            <w:r w:rsidRPr="00CA34F5">
              <w:rPr>
                <w:rFonts w:ascii="Arial" w:hAnsi="Arial" w:cs="Arial"/>
              </w:rPr>
              <w:t>1.29</w:t>
            </w:r>
          </w:p>
        </w:tc>
      </w:tr>
      <w:tr w:rsidR="00267429" w:rsidRPr="00CA34F5" w14:paraId="1C87CE09" w14:textId="21CCB2B7" w:rsidTr="00457B47">
        <w:trPr>
          <w:trHeight w:val="254"/>
          <w:jc w:val="center"/>
        </w:trPr>
        <w:tc>
          <w:tcPr>
            <w:tcW w:w="3837" w:type="dxa"/>
            <w:tcBorders>
              <w:top w:val="nil"/>
              <w:left w:val="single" w:sz="8" w:space="0" w:color="000000"/>
              <w:bottom w:val="single" w:sz="8" w:space="0" w:color="000000"/>
              <w:right w:val="single" w:sz="8" w:space="0" w:color="000000"/>
            </w:tcBorders>
            <w:shd w:val="clear" w:color="auto" w:fill="auto"/>
            <w:vAlign w:val="center"/>
            <w:hideMark/>
          </w:tcPr>
          <w:p w14:paraId="1719C768" w14:textId="1F87237F" w:rsidR="00267429" w:rsidRPr="00CA34F5" w:rsidRDefault="00267429" w:rsidP="00043716">
            <w:pPr>
              <w:spacing w:after="160" w:line="240" w:lineRule="auto"/>
              <w:jc w:val="right"/>
              <w:rPr>
                <w:rFonts w:ascii="Arial" w:hAnsi="Arial" w:cs="Arial"/>
                <w:b/>
                <w:bCs/>
              </w:rPr>
            </w:pPr>
            <w:r w:rsidRPr="00CA34F5">
              <w:rPr>
                <w:rFonts w:ascii="Arial" w:hAnsi="Arial" w:cs="Arial"/>
                <w:b/>
                <w:bCs/>
              </w:rPr>
              <w:t>Total</w:t>
            </w:r>
          </w:p>
        </w:tc>
        <w:tc>
          <w:tcPr>
            <w:tcW w:w="1701" w:type="dxa"/>
            <w:tcBorders>
              <w:top w:val="nil"/>
              <w:left w:val="nil"/>
              <w:bottom w:val="single" w:sz="8" w:space="0" w:color="000000"/>
              <w:right w:val="single" w:sz="8" w:space="0" w:color="000000"/>
            </w:tcBorders>
            <w:shd w:val="clear" w:color="auto" w:fill="auto"/>
            <w:vAlign w:val="center"/>
          </w:tcPr>
          <w:p w14:paraId="5303AC02" w14:textId="1563116B" w:rsidR="00267429" w:rsidRPr="00CA34F5" w:rsidRDefault="00267429" w:rsidP="00E151D5">
            <w:pPr>
              <w:jc w:val="right"/>
              <w:rPr>
                <w:rFonts w:ascii="Arial" w:hAnsi="Arial" w:cs="Arial"/>
                <w:b/>
                <w:color w:val="000000"/>
              </w:rPr>
            </w:pPr>
            <w:r w:rsidRPr="00CA34F5">
              <w:rPr>
                <w:rFonts w:ascii="Arial" w:hAnsi="Arial" w:cs="Arial"/>
                <w:b/>
                <w:color w:val="000000"/>
              </w:rPr>
              <w:t>683,319,566</w:t>
            </w:r>
          </w:p>
        </w:tc>
        <w:tc>
          <w:tcPr>
            <w:tcW w:w="1398" w:type="dxa"/>
            <w:tcBorders>
              <w:top w:val="nil"/>
              <w:left w:val="nil"/>
              <w:bottom w:val="single" w:sz="8" w:space="0" w:color="000000"/>
              <w:right w:val="single" w:sz="8" w:space="0" w:color="000000"/>
            </w:tcBorders>
            <w:shd w:val="clear" w:color="auto" w:fill="auto"/>
            <w:vAlign w:val="center"/>
            <w:hideMark/>
          </w:tcPr>
          <w:p w14:paraId="4EEAB0A7" w14:textId="3008EB55" w:rsidR="00267429" w:rsidRPr="00CA34F5" w:rsidRDefault="00267429" w:rsidP="00043716">
            <w:pPr>
              <w:spacing w:after="160" w:line="240" w:lineRule="auto"/>
              <w:rPr>
                <w:rFonts w:ascii="Arial" w:hAnsi="Arial" w:cs="Arial"/>
                <w:b/>
                <w:bCs/>
              </w:rPr>
            </w:pPr>
            <w:r w:rsidRPr="00CA34F5">
              <w:rPr>
                <w:rFonts w:ascii="Arial" w:hAnsi="Arial" w:cs="Arial"/>
                <w:b/>
                <w:bCs/>
              </w:rPr>
              <w:t>100</w:t>
            </w:r>
          </w:p>
        </w:tc>
      </w:tr>
    </w:tbl>
    <w:p w14:paraId="00D691BD" w14:textId="17BCB263" w:rsidR="00E151D5" w:rsidRPr="00CA34F5" w:rsidRDefault="00E151D5" w:rsidP="00E151D5">
      <w:pPr>
        <w:spacing w:after="0" w:line="240" w:lineRule="auto"/>
        <w:jc w:val="both"/>
        <w:rPr>
          <w:rFonts w:ascii="Arial" w:hAnsi="Arial" w:cs="Arial"/>
        </w:rPr>
      </w:pPr>
    </w:p>
    <w:p w14:paraId="2BBB2018" w14:textId="773A1C90" w:rsidR="00B15290" w:rsidRPr="00CA34F5" w:rsidRDefault="00B15290" w:rsidP="0055328D">
      <w:pPr>
        <w:spacing w:after="160" w:line="240" w:lineRule="auto"/>
        <w:jc w:val="left"/>
        <w:rPr>
          <w:rFonts w:ascii="Arial" w:hAnsi="Arial" w:cs="Arial"/>
        </w:rPr>
      </w:pPr>
      <w:r w:rsidRPr="00CA34F5">
        <w:rPr>
          <w:rFonts w:ascii="Arial" w:hAnsi="Arial" w:cs="Arial"/>
        </w:rPr>
        <w:t xml:space="preserve">Comentarios a los saldos que integran el rubro de Derechos a </w:t>
      </w:r>
      <w:r w:rsidR="006954AB" w:rsidRPr="00CA34F5">
        <w:rPr>
          <w:rFonts w:ascii="Arial" w:hAnsi="Arial" w:cs="Arial"/>
        </w:rPr>
        <w:t>Recibir Efectivo o Equivalentes.</w:t>
      </w:r>
    </w:p>
    <w:p w14:paraId="0EFA8F19" w14:textId="29E8F873" w:rsidR="0058036D" w:rsidRPr="00CA34F5" w:rsidRDefault="0058036D" w:rsidP="0058036D">
      <w:pPr>
        <w:spacing w:line="240" w:lineRule="auto"/>
        <w:jc w:val="both"/>
        <w:rPr>
          <w:rFonts w:ascii="Arial" w:hAnsi="Arial" w:cs="Arial"/>
          <w:b/>
        </w:rPr>
      </w:pPr>
      <w:r w:rsidRPr="00CA34F5">
        <w:rPr>
          <w:rFonts w:ascii="Arial" w:hAnsi="Arial" w:cs="Arial"/>
          <w:b/>
        </w:rPr>
        <w:t>Deudores Diversos por Cobrar a Corto Plazo por $603</w:t>
      </w:r>
      <w:proofErr w:type="gramStart"/>
      <w:r w:rsidRPr="00CA34F5">
        <w:rPr>
          <w:rFonts w:ascii="Arial" w:hAnsi="Arial" w:cs="Arial"/>
          <w:b/>
        </w:rPr>
        <w:t>,826,288</w:t>
      </w:r>
      <w:proofErr w:type="gramEnd"/>
      <w:r w:rsidRPr="00CA34F5">
        <w:rPr>
          <w:rFonts w:ascii="Arial" w:hAnsi="Arial" w:cs="Arial"/>
          <w:b/>
        </w:rPr>
        <w:t xml:space="preserve"> </w:t>
      </w:r>
    </w:p>
    <w:p w14:paraId="42FF7306" w14:textId="6A058947" w:rsidR="002E0D40" w:rsidRPr="00CA34F5" w:rsidRDefault="0058036D" w:rsidP="0058036D">
      <w:pPr>
        <w:spacing w:line="240" w:lineRule="auto"/>
        <w:jc w:val="both"/>
        <w:rPr>
          <w:rFonts w:ascii="Arial" w:hAnsi="Arial" w:cs="Arial"/>
        </w:rPr>
      </w:pPr>
      <w:r w:rsidRPr="00CA34F5">
        <w:rPr>
          <w:rFonts w:ascii="Arial" w:hAnsi="Arial" w:cs="Arial"/>
        </w:rPr>
        <w:t xml:space="preserve">El saldo de esta cuenta se integra por anticipos de Ministraciones extraordinarias, que se otorgan con la finalidad de cubrir gastos y que son comprobados mediante canje de vale, el cual al </w:t>
      </w:r>
      <w:r w:rsidR="001879A7">
        <w:rPr>
          <w:rFonts w:ascii="Arial" w:hAnsi="Arial" w:cs="Arial"/>
        </w:rPr>
        <w:t xml:space="preserve">cierre del ejercicio </w:t>
      </w:r>
      <w:r w:rsidRPr="00CA34F5">
        <w:rPr>
          <w:rFonts w:ascii="Arial" w:hAnsi="Arial" w:cs="Arial"/>
        </w:rPr>
        <w:t xml:space="preserve"> está pendiente de comprobar o rei</w:t>
      </w:r>
      <w:r w:rsidR="00032D64" w:rsidRPr="00CA34F5">
        <w:rPr>
          <w:rFonts w:ascii="Arial" w:hAnsi="Arial" w:cs="Arial"/>
        </w:rPr>
        <w:t>ntegrar como sigue:</w:t>
      </w:r>
      <w:r w:rsidR="001D67B7" w:rsidRPr="00CA34F5">
        <w:rPr>
          <w:rFonts w:ascii="Arial" w:hAnsi="Arial" w:cs="Arial"/>
        </w:rPr>
        <w:t xml:space="preserve"> </w:t>
      </w:r>
      <w:r w:rsidRPr="00CA34F5">
        <w:rPr>
          <w:rFonts w:ascii="Arial" w:hAnsi="Arial" w:cs="Arial"/>
        </w:rPr>
        <w:t>Secretaría de Educación $25,854,641, Secretaría de Función Pública $121,146, Instituto Tabasqueño de la Infraestructura Física Educativa $ 85,021,013, Colegio de Bachilleres de Tabasco $ 148,113,273, Secretaría de salud $2,091,149,  Instituto de Formación para el Trabajo del Estado de Tabasco $2,546,908, Servicios de Salud del Estado de Tabasco $194,205,426, Instituto de la Juventud y el Deporte de Tabasco $2,820,468, otros entes $354,793, deudores por concepto de impuestos por</w:t>
      </w:r>
      <w:r w:rsidR="005410E5">
        <w:rPr>
          <w:rFonts w:ascii="Arial" w:hAnsi="Arial" w:cs="Arial"/>
        </w:rPr>
        <w:t xml:space="preserve"> complementarias diferentes perí</w:t>
      </w:r>
      <w:r w:rsidRPr="00CA34F5">
        <w:rPr>
          <w:rFonts w:ascii="Arial" w:hAnsi="Arial" w:cs="Arial"/>
        </w:rPr>
        <w:t xml:space="preserve">odos $ 105,340,408, más cajas recaudadoras $6,659,863 </w:t>
      </w:r>
      <w:r w:rsidR="005410E5">
        <w:rPr>
          <w:rFonts w:ascii="Arial" w:hAnsi="Arial" w:cs="Arial"/>
        </w:rPr>
        <w:t xml:space="preserve">más otras cuentas por cobrar por </w:t>
      </w:r>
      <w:r w:rsidR="00903BE5" w:rsidRPr="00CA34F5">
        <w:rPr>
          <w:rFonts w:ascii="Arial" w:hAnsi="Arial" w:cs="Arial"/>
        </w:rPr>
        <w:t xml:space="preserve"> $30,697,200</w:t>
      </w:r>
      <w:r w:rsidR="00723400" w:rsidRPr="00CA34F5">
        <w:rPr>
          <w:rFonts w:ascii="Arial" w:hAnsi="Arial" w:cs="Arial"/>
        </w:rPr>
        <w:t>.</w:t>
      </w:r>
      <w:r w:rsidR="005410E5">
        <w:rPr>
          <w:rFonts w:ascii="Arial" w:hAnsi="Arial" w:cs="Arial"/>
        </w:rPr>
        <w:t>que se recuperan en el primer trimestre del ejercicio 2022.</w:t>
      </w:r>
    </w:p>
    <w:p w14:paraId="51B0C0F9" w14:textId="2AA39957" w:rsidR="0058036D" w:rsidRPr="00CA34F5" w:rsidRDefault="001D67B7" w:rsidP="0058036D">
      <w:pPr>
        <w:spacing w:line="240" w:lineRule="auto"/>
        <w:jc w:val="both"/>
        <w:rPr>
          <w:rFonts w:ascii="Arial" w:hAnsi="Arial" w:cs="Arial"/>
        </w:rPr>
      </w:pPr>
      <w:r w:rsidRPr="00CA34F5">
        <w:rPr>
          <w:rFonts w:ascii="Arial" w:hAnsi="Arial" w:cs="Arial"/>
        </w:rPr>
        <w:lastRenderedPageBreak/>
        <w:t>E</w:t>
      </w:r>
      <w:r w:rsidR="00926DEC" w:rsidRPr="00CA34F5">
        <w:rPr>
          <w:rFonts w:ascii="Arial" w:hAnsi="Arial" w:cs="Arial"/>
        </w:rPr>
        <w:t>l</w:t>
      </w:r>
      <w:r w:rsidRPr="00CA34F5">
        <w:rPr>
          <w:rFonts w:ascii="Arial" w:hAnsi="Arial" w:cs="Arial"/>
        </w:rPr>
        <w:t xml:space="preserve"> saldo</w:t>
      </w:r>
      <w:r w:rsidR="004A7AB4" w:rsidRPr="00CA34F5">
        <w:rPr>
          <w:rFonts w:ascii="Arial" w:hAnsi="Arial" w:cs="Arial"/>
        </w:rPr>
        <w:t xml:space="preserve"> total presenta una antigüedad de</w:t>
      </w:r>
      <w:r w:rsidR="00F707AA" w:rsidRPr="00CA34F5">
        <w:rPr>
          <w:rFonts w:ascii="Arial" w:hAnsi="Arial" w:cs="Arial"/>
        </w:rPr>
        <w:t xml:space="preserve"> 50.93% </w:t>
      </w:r>
      <w:r w:rsidR="0058036D" w:rsidRPr="00CA34F5">
        <w:rPr>
          <w:rFonts w:ascii="Arial" w:hAnsi="Arial" w:cs="Arial"/>
        </w:rPr>
        <w:t>a 90 días, el .03% a 180 días, 17.46% menor o igual a 365 días; y el 31.58% es mayor a 365 días a los cuales se les está dando seguimiento para su recuperación. Las cifras presentadas fueron conciliadas con las Dependencias y Organismos Descentralizados.</w:t>
      </w:r>
    </w:p>
    <w:p w14:paraId="5005D7ED" w14:textId="77777777" w:rsidR="0058036D" w:rsidRPr="00CA34F5" w:rsidRDefault="0058036D" w:rsidP="0058036D">
      <w:pPr>
        <w:spacing w:line="240" w:lineRule="auto"/>
        <w:jc w:val="both"/>
        <w:rPr>
          <w:rFonts w:ascii="Arial" w:hAnsi="Arial" w:cs="Arial"/>
        </w:rPr>
      </w:pPr>
      <w:r w:rsidRPr="00CA34F5">
        <w:rPr>
          <w:rFonts w:ascii="Arial" w:hAnsi="Arial" w:cs="Arial"/>
          <w:b/>
        </w:rPr>
        <w:t>Ingresos por Recuperar a Corto Plazo por $39</w:t>
      </w:r>
      <w:proofErr w:type="gramStart"/>
      <w:r w:rsidRPr="00CA34F5">
        <w:rPr>
          <w:rFonts w:ascii="Arial" w:hAnsi="Arial" w:cs="Arial"/>
          <w:b/>
        </w:rPr>
        <w:t>,314,775</w:t>
      </w:r>
      <w:proofErr w:type="gramEnd"/>
    </w:p>
    <w:p w14:paraId="0B398D19" w14:textId="4B8EB121" w:rsidR="0058036D" w:rsidRPr="00CA34F5" w:rsidRDefault="005B31F1" w:rsidP="0058036D">
      <w:pPr>
        <w:spacing w:line="240" w:lineRule="auto"/>
        <w:jc w:val="both"/>
        <w:rPr>
          <w:rFonts w:ascii="Arial" w:hAnsi="Arial" w:cs="Arial"/>
        </w:rPr>
      </w:pPr>
      <w:r w:rsidRPr="00CA34F5">
        <w:rPr>
          <w:rFonts w:ascii="Arial" w:hAnsi="Arial" w:cs="Arial"/>
        </w:rPr>
        <w:t xml:space="preserve">El </w:t>
      </w:r>
      <w:r w:rsidR="007F1A55">
        <w:rPr>
          <w:rFonts w:ascii="Arial" w:hAnsi="Arial" w:cs="Arial"/>
        </w:rPr>
        <w:t xml:space="preserve">saldo de esta cuenta es de </w:t>
      </w:r>
      <w:r w:rsidR="00CF326E" w:rsidRPr="00CA34F5">
        <w:rPr>
          <w:rFonts w:ascii="Arial" w:hAnsi="Arial" w:cs="Arial"/>
        </w:rPr>
        <w:t>adeudos de</w:t>
      </w:r>
      <w:r w:rsidR="0058036D" w:rsidRPr="00CA34F5">
        <w:rPr>
          <w:rFonts w:ascii="Arial" w:hAnsi="Arial" w:cs="Arial"/>
        </w:rPr>
        <w:t xml:space="preserve"> lo</w:t>
      </w:r>
      <w:r w:rsidR="00F1004F" w:rsidRPr="00CA34F5">
        <w:rPr>
          <w:rFonts w:ascii="Arial" w:hAnsi="Arial" w:cs="Arial"/>
        </w:rPr>
        <w:t>s entes públicos por el</w:t>
      </w:r>
      <w:r w:rsidR="0058036D" w:rsidRPr="00CA34F5">
        <w:rPr>
          <w:rFonts w:ascii="Arial" w:hAnsi="Arial" w:cs="Arial"/>
        </w:rPr>
        <w:t xml:space="preserve"> impuesto sobre</w:t>
      </w:r>
      <w:r w:rsidR="00DB181C" w:rsidRPr="00CA34F5">
        <w:rPr>
          <w:rFonts w:ascii="Arial" w:hAnsi="Arial" w:cs="Arial"/>
        </w:rPr>
        <w:t xml:space="preserve"> nómina que percibe el Estado; e</w:t>
      </w:r>
      <w:r w:rsidR="0058036D" w:rsidRPr="00CA34F5">
        <w:rPr>
          <w:rFonts w:ascii="Arial" w:hAnsi="Arial" w:cs="Arial"/>
        </w:rPr>
        <w:t xml:space="preserve">ste saldo </w:t>
      </w:r>
      <w:r w:rsidR="001A5D54" w:rsidRPr="00CA34F5">
        <w:rPr>
          <w:rFonts w:ascii="Arial" w:hAnsi="Arial" w:cs="Arial"/>
        </w:rPr>
        <w:t>es</w:t>
      </w:r>
      <w:r w:rsidR="0058036D" w:rsidRPr="00CA34F5">
        <w:rPr>
          <w:rFonts w:ascii="Arial" w:hAnsi="Arial" w:cs="Arial"/>
        </w:rPr>
        <w:t xml:space="preserve"> de ejercicios </w:t>
      </w:r>
      <w:r w:rsidR="00AD65FF">
        <w:rPr>
          <w:rFonts w:ascii="Arial" w:hAnsi="Arial" w:cs="Arial"/>
        </w:rPr>
        <w:t xml:space="preserve">anteriores, su antigüedad es mayor a 365 días y </w:t>
      </w:r>
      <w:proofErr w:type="spellStart"/>
      <w:r w:rsidR="00AD65FF">
        <w:rPr>
          <w:rFonts w:ascii="Arial" w:hAnsi="Arial" w:cs="Arial"/>
        </w:rPr>
        <w:t>esta</w:t>
      </w:r>
      <w:proofErr w:type="spellEnd"/>
      <w:r w:rsidR="00AD65FF">
        <w:rPr>
          <w:rFonts w:ascii="Arial" w:hAnsi="Arial" w:cs="Arial"/>
        </w:rPr>
        <w:t xml:space="preserve"> en depuración.</w:t>
      </w:r>
    </w:p>
    <w:p w14:paraId="5F4AF5E6" w14:textId="6538B634" w:rsidR="0058036D" w:rsidRPr="00CA34F5" w:rsidRDefault="0058036D" w:rsidP="0058036D">
      <w:pPr>
        <w:spacing w:line="240" w:lineRule="auto"/>
        <w:jc w:val="both"/>
        <w:rPr>
          <w:rFonts w:ascii="Arial" w:hAnsi="Arial" w:cs="Arial"/>
          <w:b/>
        </w:rPr>
      </w:pPr>
      <w:r w:rsidRPr="00CA34F5">
        <w:rPr>
          <w:rFonts w:ascii="Arial" w:hAnsi="Arial" w:cs="Arial"/>
          <w:b/>
        </w:rPr>
        <w:t>Deudores por Anticipos de la Tesorería a Corto Plazo por $31</w:t>
      </w:r>
      <w:proofErr w:type="gramStart"/>
      <w:r w:rsidRPr="00CA34F5">
        <w:rPr>
          <w:rFonts w:ascii="Arial" w:hAnsi="Arial" w:cs="Arial"/>
          <w:b/>
        </w:rPr>
        <w:t>,358,999</w:t>
      </w:r>
      <w:proofErr w:type="gramEnd"/>
    </w:p>
    <w:p w14:paraId="59C85ED5" w14:textId="543FEA32" w:rsidR="0058036D" w:rsidRPr="00CA34F5" w:rsidRDefault="0058036D" w:rsidP="0058036D">
      <w:pPr>
        <w:spacing w:line="240" w:lineRule="auto"/>
        <w:jc w:val="both"/>
        <w:rPr>
          <w:rFonts w:ascii="Arial" w:hAnsi="Arial" w:cs="Arial"/>
        </w:rPr>
      </w:pPr>
      <w:r w:rsidRPr="00CA34F5">
        <w:rPr>
          <w:rFonts w:ascii="Arial" w:hAnsi="Arial" w:cs="Arial"/>
        </w:rPr>
        <w:t>El saldo</w:t>
      </w:r>
      <w:r w:rsidR="00A815AF" w:rsidRPr="00CA34F5">
        <w:rPr>
          <w:rFonts w:ascii="Arial" w:hAnsi="Arial" w:cs="Arial"/>
        </w:rPr>
        <w:t xml:space="preserve"> de esta cuenta</w:t>
      </w:r>
      <w:r w:rsidR="00386F8D">
        <w:rPr>
          <w:rFonts w:ascii="Arial" w:hAnsi="Arial" w:cs="Arial"/>
        </w:rPr>
        <w:t xml:space="preserve"> se integra como sigue:</w:t>
      </w:r>
      <w:r w:rsidRPr="00CA34F5">
        <w:rPr>
          <w:rFonts w:ascii="Arial" w:hAnsi="Arial" w:cs="Arial"/>
        </w:rPr>
        <w:t xml:space="preserve"> $ 10</w:t>
      </w:r>
      <w:proofErr w:type="gramStart"/>
      <w:r w:rsidRPr="00CA34F5">
        <w:rPr>
          <w:rFonts w:ascii="Arial" w:hAnsi="Arial" w:cs="Arial"/>
        </w:rPr>
        <w:t>,000,</w:t>
      </w:r>
      <w:r w:rsidR="00A815AF" w:rsidRPr="00CA34F5">
        <w:rPr>
          <w:rFonts w:ascii="Arial" w:hAnsi="Arial" w:cs="Arial"/>
        </w:rPr>
        <w:t>000</w:t>
      </w:r>
      <w:proofErr w:type="gramEnd"/>
      <w:r w:rsidR="00386F8D">
        <w:rPr>
          <w:rFonts w:ascii="Arial" w:hAnsi="Arial" w:cs="Arial"/>
        </w:rPr>
        <w:t xml:space="preserve"> por </w:t>
      </w:r>
      <w:r w:rsidRPr="00CA34F5">
        <w:rPr>
          <w:rFonts w:ascii="Arial" w:hAnsi="Arial" w:cs="Arial"/>
        </w:rPr>
        <w:t xml:space="preserve"> ministraciones otorgadas al municipio de Centro que serán amortizados del fondo de su participaciones mensual;</w:t>
      </w:r>
      <w:r w:rsidR="00386F8D">
        <w:rPr>
          <w:rFonts w:ascii="Arial" w:hAnsi="Arial" w:cs="Arial"/>
        </w:rPr>
        <w:t xml:space="preserve"> más </w:t>
      </w:r>
      <w:r w:rsidRPr="00CA34F5">
        <w:rPr>
          <w:rFonts w:ascii="Arial" w:hAnsi="Arial" w:cs="Arial"/>
        </w:rPr>
        <w:t xml:space="preserve"> $20,079,921 otorgado </w:t>
      </w:r>
      <w:r w:rsidR="00AD65FF">
        <w:rPr>
          <w:rFonts w:ascii="Arial" w:hAnsi="Arial" w:cs="Arial"/>
        </w:rPr>
        <w:t>como préstamo de Crédito Fiscal</w:t>
      </w:r>
      <w:r w:rsidR="0029013E">
        <w:rPr>
          <w:rFonts w:ascii="Arial" w:hAnsi="Arial" w:cs="Arial"/>
        </w:rPr>
        <w:t xml:space="preserve"> al municipio de Macuspana</w:t>
      </w:r>
      <w:r w:rsidR="00AD65FF">
        <w:rPr>
          <w:rFonts w:ascii="Arial" w:hAnsi="Arial" w:cs="Arial"/>
        </w:rPr>
        <w:t xml:space="preserve">; más $1,170,118 por </w:t>
      </w:r>
      <w:r w:rsidRPr="00CA34F5">
        <w:rPr>
          <w:rFonts w:ascii="Arial" w:hAnsi="Arial" w:cs="Arial"/>
        </w:rPr>
        <w:t xml:space="preserve">ministración de fondo </w:t>
      </w:r>
      <w:proofErr w:type="spellStart"/>
      <w:r w:rsidRPr="00CA34F5">
        <w:rPr>
          <w:rFonts w:ascii="Arial" w:hAnsi="Arial" w:cs="Arial"/>
        </w:rPr>
        <w:t>revolvente</w:t>
      </w:r>
      <w:proofErr w:type="spellEnd"/>
      <w:r w:rsidRPr="00CA34F5">
        <w:rPr>
          <w:rFonts w:ascii="Arial" w:hAnsi="Arial" w:cs="Arial"/>
        </w:rPr>
        <w:t xml:space="preserve"> para </w:t>
      </w:r>
      <w:r w:rsidR="00AD65FF">
        <w:rPr>
          <w:rFonts w:ascii="Arial" w:hAnsi="Arial" w:cs="Arial"/>
        </w:rPr>
        <w:t>gastos inmediatos,</w:t>
      </w:r>
      <w:r w:rsidRPr="00CA34F5">
        <w:rPr>
          <w:rFonts w:ascii="Arial" w:hAnsi="Arial" w:cs="Arial"/>
        </w:rPr>
        <w:t xml:space="preserve"> pendientes de reinte</w:t>
      </w:r>
      <w:r w:rsidR="00AD65FF">
        <w:rPr>
          <w:rFonts w:ascii="Arial" w:hAnsi="Arial" w:cs="Arial"/>
        </w:rPr>
        <w:t>grar al cierre del ejercicio;</w:t>
      </w:r>
      <w:r w:rsidR="00735687">
        <w:rPr>
          <w:rFonts w:ascii="Arial" w:hAnsi="Arial" w:cs="Arial"/>
        </w:rPr>
        <w:t xml:space="preserve"> má</w:t>
      </w:r>
      <w:r w:rsidRPr="00CA34F5">
        <w:rPr>
          <w:rFonts w:ascii="Arial" w:hAnsi="Arial" w:cs="Arial"/>
        </w:rPr>
        <w:t>s $108,960</w:t>
      </w:r>
      <w:r w:rsidR="00735687">
        <w:rPr>
          <w:rFonts w:ascii="Arial" w:hAnsi="Arial" w:cs="Arial"/>
        </w:rPr>
        <w:t xml:space="preserve"> del</w:t>
      </w:r>
      <w:r w:rsidRPr="00CA34F5">
        <w:rPr>
          <w:rFonts w:ascii="Arial" w:hAnsi="Arial" w:cs="Arial"/>
        </w:rPr>
        <w:t xml:space="preserve"> Instituto Tabasqueño de la I</w:t>
      </w:r>
      <w:r w:rsidR="00AD65FF">
        <w:rPr>
          <w:rFonts w:ascii="Arial" w:hAnsi="Arial" w:cs="Arial"/>
        </w:rPr>
        <w:t>nfraestructura Física Educativa. E</w:t>
      </w:r>
      <w:r w:rsidR="00DE2CA3" w:rsidRPr="00CA34F5">
        <w:rPr>
          <w:rFonts w:ascii="Arial" w:hAnsi="Arial" w:cs="Arial"/>
        </w:rPr>
        <w:t xml:space="preserve">l </w:t>
      </w:r>
      <w:r w:rsidRPr="00CA34F5">
        <w:rPr>
          <w:rFonts w:ascii="Arial" w:hAnsi="Arial" w:cs="Arial"/>
        </w:rPr>
        <w:t>sal</w:t>
      </w:r>
      <w:r w:rsidR="00867ACB" w:rsidRPr="00CA34F5">
        <w:rPr>
          <w:rFonts w:ascii="Arial" w:hAnsi="Arial" w:cs="Arial"/>
        </w:rPr>
        <w:t xml:space="preserve">do </w:t>
      </w:r>
      <w:r w:rsidR="0004236E" w:rsidRPr="00CA34F5">
        <w:rPr>
          <w:rFonts w:ascii="Arial" w:hAnsi="Arial" w:cs="Arial"/>
        </w:rPr>
        <w:t>presenta una antigüedad de</w:t>
      </w:r>
      <w:r w:rsidR="00F54B06" w:rsidRPr="00CA34F5">
        <w:rPr>
          <w:rFonts w:ascii="Arial" w:hAnsi="Arial" w:cs="Arial"/>
        </w:rPr>
        <w:t xml:space="preserve"> 95.98% a 90 días, y </w:t>
      </w:r>
      <w:r w:rsidRPr="00CA34F5">
        <w:rPr>
          <w:rFonts w:ascii="Arial" w:hAnsi="Arial" w:cs="Arial"/>
        </w:rPr>
        <w:t>4.02% mayor a 365 días.</w:t>
      </w:r>
    </w:p>
    <w:p w14:paraId="6030C14E" w14:textId="77777777" w:rsidR="0058036D" w:rsidRPr="00CA34F5" w:rsidRDefault="0058036D" w:rsidP="0058036D">
      <w:pPr>
        <w:spacing w:line="240" w:lineRule="auto"/>
        <w:jc w:val="both"/>
        <w:rPr>
          <w:rFonts w:ascii="Arial" w:hAnsi="Arial" w:cs="Arial"/>
          <w:b/>
        </w:rPr>
      </w:pPr>
      <w:r w:rsidRPr="00CA34F5">
        <w:rPr>
          <w:rFonts w:ascii="Arial" w:hAnsi="Arial" w:cs="Arial"/>
          <w:b/>
        </w:rPr>
        <w:t>Otros Derechos a Recibir Efectivo o Equivalentes a Corto Plazo integrado como sigue: $8</w:t>
      </w:r>
      <w:proofErr w:type="gramStart"/>
      <w:r w:rsidRPr="00CA34F5">
        <w:rPr>
          <w:rFonts w:ascii="Arial" w:hAnsi="Arial" w:cs="Arial"/>
          <w:b/>
        </w:rPr>
        <w:t>,819,504</w:t>
      </w:r>
      <w:proofErr w:type="gramEnd"/>
    </w:p>
    <w:p w14:paraId="4974BD47" w14:textId="0F70BE53" w:rsidR="0058036D" w:rsidRPr="00CA34F5" w:rsidRDefault="0058036D" w:rsidP="0058036D">
      <w:pPr>
        <w:spacing w:line="240" w:lineRule="auto"/>
        <w:jc w:val="both"/>
        <w:rPr>
          <w:rFonts w:ascii="Arial" w:hAnsi="Arial" w:cs="Arial"/>
        </w:rPr>
      </w:pPr>
      <w:r w:rsidRPr="00CA34F5">
        <w:rPr>
          <w:rFonts w:ascii="Arial" w:hAnsi="Arial" w:cs="Arial"/>
        </w:rPr>
        <w:t>El sal</w:t>
      </w:r>
      <w:r w:rsidR="00C57D22" w:rsidRPr="00CA34F5">
        <w:rPr>
          <w:rFonts w:ascii="Arial" w:hAnsi="Arial" w:cs="Arial"/>
        </w:rPr>
        <w:t>do de esta cuenta se integra</w:t>
      </w:r>
      <w:r w:rsidRPr="00CA34F5">
        <w:rPr>
          <w:rFonts w:ascii="Arial" w:hAnsi="Arial" w:cs="Arial"/>
        </w:rPr>
        <w:t xml:space="preserve"> $7</w:t>
      </w:r>
      <w:proofErr w:type="gramStart"/>
      <w:r w:rsidRPr="00CA34F5">
        <w:rPr>
          <w:rFonts w:ascii="Arial" w:hAnsi="Arial" w:cs="Arial"/>
        </w:rPr>
        <w:t>,350,417</w:t>
      </w:r>
      <w:proofErr w:type="gramEnd"/>
      <w:r w:rsidRPr="00CA34F5">
        <w:rPr>
          <w:rFonts w:ascii="Arial" w:hAnsi="Arial" w:cs="Arial"/>
        </w:rPr>
        <w:t xml:space="preserve"> por concepto de combustible donado por parte de Petróleos Mexicanos al Gobierno del Estado y el subsidio al empleo pendiente de aplicar por $1,469,087. La antigüedad del saldo es de 90 días y su factibilidad de cobro de 100%.</w:t>
      </w:r>
    </w:p>
    <w:p w14:paraId="3B3E8D2D" w14:textId="77777777" w:rsidR="000D1AE9" w:rsidRPr="00CA34F5" w:rsidRDefault="000D1AE9" w:rsidP="000A4C31">
      <w:pPr>
        <w:spacing w:after="0" w:line="240" w:lineRule="auto"/>
        <w:jc w:val="both"/>
        <w:rPr>
          <w:rFonts w:ascii="Arial" w:hAnsi="Arial" w:cs="Arial"/>
        </w:rPr>
      </w:pPr>
    </w:p>
    <w:p w14:paraId="3A68925F" w14:textId="296AF220" w:rsidR="001041DB" w:rsidRPr="00CA34F5" w:rsidRDefault="005314BA" w:rsidP="001041DB">
      <w:pPr>
        <w:spacing w:after="0" w:line="240" w:lineRule="auto"/>
        <w:jc w:val="both"/>
        <w:rPr>
          <w:rFonts w:ascii="Arial" w:eastAsia="Times New Roman" w:hAnsi="Arial" w:cs="Arial"/>
          <w:b/>
          <w:color w:val="000000"/>
          <w:lang w:eastAsia="es-MX"/>
        </w:rPr>
      </w:pPr>
      <w:r w:rsidRPr="00CA34F5">
        <w:rPr>
          <w:rFonts w:ascii="Arial" w:eastAsia="Times New Roman" w:hAnsi="Arial" w:cs="Arial"/>
          <w:b/>
          <w:color w:val="000000"/>
          <w:u w:val="single"/>
          <w:lang w:eastAsia="es-MX"/>
        </w:rPr>
        <w:t xml:space="preserve">Derechos </w:t>
      </w:r>
      <w:r w:rsidR="00AB56B9" w:rsidRPr="00CA34F5">
        <w:rPr>
          <w:rFonts w:ascii="Arial" w:eastAsia="Times New Roman" w:hAnsi="Arial" w:cs="Arial"/>
          <w:b/>
          <w:color w:val="000000"/>
          <w:u w:val="single"/>
          <w:lang w:eastAsia="es-MX"/>
        </w:rPr>
        <w:t>a Recibir Bienes o Servicios</w:t>
      </w:r>
      <w:r w:rsidR="00CC0054" w:rsidRPr="00CA34F5">
        <w:rPr>
          <w:rFonts w:ascii="Arial" w:eastAsia="Times New Roman" w:hAnsi="Arial" w:cs="Arial"/>
          <w:b/>
          <w:color w:val="000000"/>
          <w:u w:val="single"/>
          <w:lang w:eastAsia="es-MX"/>
        </w:rPr>
        <w:t xml:space="preserve">  </w:t>
      </w:r>
      <w:r w:rsidR="004A7CAE" w:rsidRPr="00CA34F5">
        <w:rPr>
          <w:rFonts w:ascii="Arial" w:eastAsia="Times New Roman" w:hAnsi="Arial" w:cs="Arial"/>
          <w:b/>
          <w:color w:val="000000"/>
          <w:lang w:eastAsia="es-MX"/>
        </w:rPr>
        <w:t xml:space="preserve"> </w:t>
      </w:r>
    </w:p>
    <w:p w14:paraId="5B69F0DA" w14:textId="77777777" w:rsidR="006E6C0E" w:rsidRPr="00CA34F5" w:rsidRDefault="006E6C0E" w:rsidP="001041DB">
      <w:pPr>
        <w:spacing w:after="0" w:line="240" w:lineRule="auto"/>
        <w:jc w:val="both"/>
        <w:rPr>
          <w:rFonts w:ascii="Arial" w:hAnsi="Arial" w:cs="Arial"/>
        </w:rPr>
      </w:pPr>
    </w:p>
    <w:p w14:paraId="3D37422A" w14:textId="503BE606" w:rsidR="00634E66" w:rsidRPr="00CA34F5" w:rsidRDefault="00967746" w:rsidP="001041DB">
      <w:pPr>
        <w:spacing w:after="0" w:line="240" w:lineRule="auto"/>
        <w:jc w:val="both"/>
        <w:rPr>
          <w:rFonts w:ascii="Arial" w:hAnsi="Arial" w:cs="Arial"/>
          <w:b/>
        </w:rPr>
      </w:pPr>
      <w:r w:rsidRPr="00CA34F5">
        <w:rPr>
          <w:rFonts w:ascii="Arial" w:hAnsi="Arial" w:cs="Arial"/>
        </w:rPr>
        <w:t xml:space="preserve">Derechos a Recibir Bienes o Servicios </w:t>
      </w:r>
      <w:r w:rsidR="007F1A55">
        <w:rPr>
          <w:rFonts w:ascii="Arial" w:hAnsi="Arial" w:cs="Arial"/>
        </w:rPr>
        <w:t xml:space="preserve">se integra </w:t>
      </w:r>
      <w:r w:rsidR="00B22342" w:rsidRPr="00CA34F5">
        <w:rPr>
          <w:rFonts w:ascii="Arial" w:hAnsi="Arial" w:cs="Arial"/>
        </w:rPr>
        <w:t xml:space="preserve"> como sigue</w:t>
      </w:r>
      <w:r w:rsidR="00634E66" w:rsidRPr="00CA34F5">
        <w:rPr>
          <w:rFonts w:ascii="Arial" w:hAnsi="Arial" w:cs="Arial"/>
          <w:b/>
        </w:rPr>
        <w:t>:</w:t>
      </w:r>
    </w:p>
    <w:p w14:paraId="0BF21775" w14:textId="77777777" w:rsidR="00634E66" w:rsidRPr="00CA34F5" w:rsidRDefault="00634E66" w:rsidP="001041DB">
      <w:pPr>
        <w:spacing w:after="0" w:line="240" w:lineRule="auto"/>
        <w:jc w:val="both"/>
        <w:rPr>
          <w:rFonts w:ascii="Arial" w:hAnsi="Arial" w:cs="Arial"/>
          <w:b/>
        </w:rPr>
      </w:pPr>
    </w:p>
    <w:tbl>
      <w:tblPr>
        <w:tblW w:w="6516" w:type="dxa"/>
        <w:jc w:val="center"/>
        <w:tblCellMar>
          <w:left w:w="70" w:type="dxa"/>
          <w:right w:w="70" w:type="dxa"/>
        </w:tblCellMar>
        <w:tblLook w:val="04A0" w:firstRow="1" w:lastRow="0" w:firstColumn="1" w:lastColumn="0" w:noHBand="0" w:noVBand="1"/>
      </w:tblPr>
      <w:tblGrid>
        <w:gridCol w:w="4120"/>
        <w:gridCol w:w="1262"/>
        <w:gridCol w:w="1134"/>
      </w:tblGrid>
      <w:tr w:rsidR="00634E66" w:rsidRPr="00CA34F5" w14:paraId="0ABAF30E" w14:textId="77777777" w:rsidTr="00BF1405">
        <w:trPr>
          <w:trHeight w:val="495"/>
          <w:jc w:val="center"/>
        </w:trPr>
        <w:tc>
          <w:tcPr>
            <w:tcW w:w="412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6662414F" w14:textId="77777777" w:rsidR="00634E66" w:rsidRPr="00CA34F5" w:rsidRDefault="00634E66" w:rsidP="00BF1405">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Cuentas de mayor que integran  Derechos a recibir bienes o servicios</w:t>
            </w:r>
          </w:p>
        </w:tc>
        <w:tc>
          <w:tcPr>
            <w:tcW w:w="1262" w:type="dxa"/>
            <w:tcBorders>
              <w:top w:val="single" w:sz="4" w:space="0" w:color="auto"/>
              <w:left w:val="nil"/>
              <w:bottom w:val="single" w:sz="4" w:space="0" w:color="auto"/>
              <w:right w:val="single" w:sz="4" w:space="0" w:color="auto"/>
            </w:tcBorders>
            <w:shd w:val="clear" w:color="000000" w:fill="AEAAAA"/>
            <w:noWrap/>
            <w:vAlign w:val="bottom"/>
            <w:hideMark/>
          </w:tcPr>
          <w:p w14:paraId="62706703" w14:textId="55B4C095" w:rsidR="00634E66" w:rsidRPr="00CA34F5" w:rsidRDefault="00634E66" w:rsidP="003E3C3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Saldos al 31 diciembre 2021</w:t>
            </w:r>
          </w:p>
        </w:tc>
        <w:tc>
          <w:tcPr>
            <w:tcW w:w="1134" w:type="dxa"/>
            <w:tcBorders>
              <w:top w:val="single" w:sz="4" w:space="0" w:color="auto"/>
              <w:left w:val="nil"/>
              <w:bottom w:val="single" w:sz="4" w:space="0" w:color="auto"/>
              <w:right w:val="single" w:sz="4" w:space="0" w:color="auto"/>
            </w:tcBorders>
            <w:shd w:val="clear" w:color="000000" w:fill="AEAAAA"/>
            <w:noWrap/>
            <w:vAlign w:val="bottom"/>
            <w:hideMark/>
          </w:tcPr>
          <w:p w14:paraId="0D2CCCD6" w14:textId="77777777" w:rsidR="00634E66" w:rsidRPr="00CA34F5" w:rsidRDefault="00634E66" w:rsidP="003E3C3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w:t>
            </w:r>
          </w:p>
        </w:tc>
      </w:tr>
      <w:tr w:rsidR="00634E66" w:rsidRPr="00CA34F5" w14:paraId="400BEF3D" w14:textId="77777777" w:rsidTr="00634E66">
        <w:trPr>
          <w:trHeight w:val="495"/>
          <w:jc w:val="center"/>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410B143C" w14:textId="77777777" w:rsidR="00634E66" w:rsidRPr="00CA34F5" w:rsidRDefault="00634E66" w:rsidP="00634E66">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Anticipo a Contratistas por Obras Públicas a Corto Plazo</w:t>
            </w:r>
          </w:p>
        </w:tc>
        <w:tc>
          <w:tcPr>
            <w:tcW w:w="1262" w:type="dxa"/>
            <w:tcBorders>
              <w:top w:val="nil"/>
              <w:left w:val="nil"/>
              <w:bottom w:val="single" w:sz="4" w:space="0" w:color="auto"/>
              <w:right w:val="single" w:sz="4" w:space="0" w:color="auto"/>
            </w:tcBorders>
            <w:shd w:val="clear" w:color="auto" w:fill="auto"/>
            <w:noWrap/>
            <w:vAlign w:val="bottom"/>
            <w:hideMark/>
          </w:tcPr>
          <w:p w14:paraId="61142BD2" w14:textId="77777777" w:rsidR="00634E66" w:rsidRPr="00CA34F5" w:rsidRDefault="00634E66" w:rsidP="003E3C3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18,225,553</w:t>
            </w:r>
          </w:p>
        </w:tc>
        <w:tc>
          <w:tcPr>
            <w:tcW w:w="1134" w:type="dxa"/>
            <w:tcBorders>
              <w:top w:val="nil"/>
              <w:left w:val="nil"/>
              <w:bottom w:val="single" w:sz="4" w:space="0" w:color="auto"/>
              <w:right w:val="single" w:sz="4" w:space="0" w:color="auto"/>
            </w:tcBorders>
            <w:shd w:val="clear" w:color="auto" w:fill="auto"/>
            <w:noWrap/>
            <w:vAlign w:val="bottom"/>
            <w:hideMark/>
          </w:tcPr>
          <w:p w14:paraId="5DE1F1F3" w14:textId="36A154B7" w:rsidR="00634E66" w:rsidRPr="00CA34F5" w:rsidRDefault="008360A3" w:rsidP="00634E66">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96.08</w:t>
            </w:r>
          </w:p>
        </w:tc>
      </w:tr>
      <w:tr w:rsidR="00634E66" w:rsidRPr="00CA34F5" w14:paraId="166F4C87" w14:textId="77777777" w:rsidTr="00634E66">
        <w:trPr>
          <w:trHeight w:val="495"/>
          <w:jc w:val="center"/>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24E5C995" w14:textId="77777777" w:rsidR="00634E66" w:rsidRPr="00CA34F5" w:rsidRDefault="00634E66" w:rsidP="00634E66">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Otros Derechos a Recibir Bienes o servicios  a Corto Plazo</w:t>
            </w:r>
          </w:p>
        </w:tc>
        <w:tc>
          <w:tcPr>
            <w:tcW w:w="1262" w:type="dxa"/>
            <w:tcBorders>
              <w:top w:val="nil"/>
              <w:left w:val="nil"/>
              <w:bottom w:val="single" w:sz="4" w:space="0" w:color="auto"/>
              <w:right w:val="single" w:sz="4" w:space="0" w:color="auto"/>
            </w:tcBorders>
            <w:shd w:val="clear" w:color="auto" w:fill="auto"/>
            <w:noWrap/>
            <w:vAlign w:val="bottom"/>
            <w:hideMark/>
          </w:tcPr>
          <w:p w14:paraId="1E732B7A" w14:textId="77777777" w:rsidR="00634E66" w:rsidRPr="00CA34F5" w:rsidRDefault="00634E66" w:rsidP="003E3C3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743,712</w:t>
            </w:r>
          </w:p>
        </w:tc>
        <w:tc>
          <w:tcPr>
            <w:tcW w:w="1134" w:type="dxa"/>
            <w:tcBorders>
              <w:top w:val="nil"/>
              <w:left w:val="nil"/>
              <w:bottom w:val="single" w:sz="4" w:space="0" w:color="auto"/>
              <w:right w:val="single" w:sz="4" w:space="0" w:color="auto"/>
            </w:tcBorders>
            <w:shd w:val="clear" w:color="auto" w:fill="auto"/>
            <w:noWrap/>
            <w:vAlign w:val="bottom"/>
            <w:hideMark/>
          </w:tcPr>
          <w:p w14:paraId="4357B2B3" w14:textId="1E91202E" w:rsidR="00634E66" w:rsidRPr="00CA34F5" w:rsidRDefault="008360A3" w:rsidP="00634E66">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3.92</w:t>
            </w:r>
          </w:p>
        </w:tc>
      </w:tr>
      <w:tr w:rsidR="00634E66" w:rsidRPr="00CA34F5" w14:paraId="45397305" w14:textId="77777777" w:rsidTr="00634E66">
        <w:trPr>
          <w:trHeight w:val="300"/>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6D7A62B" w14:textId="47FE5784" w:rsidR="00634E66" w:rsidRPr="00CA34F5" w:rsidRDefault="00634E66" w:rsidP="00634E66">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Total</w:t>
            </w:r>
          </w:p>
        </w:tc>
        <w:tc>
          <w:tcPr>
            <w:tcW w:w="1262" w:type="dxa"/>
            <w:tcBorders>
              <w:top w:val="nil"/>
              <w:left w:val="nil"/>
              <w:bottom w:val="single" w:sz="4" w:space="0" w:color="auto"/>
              <w:right w:val="single" w:sz="4" w:space="0" w:color="auto"/>
            </w:tcBorders>
            <w:shd w:val="clear" w:color="auto" w:fill="auto"/>
            <w:noWrap/>
            <w:vAlign w:val="bottom"/>
            <w:hideMark/>
          </w:tcPr>
          <w:p w14:paraId="5A0E9244" w14:textId="77777777" w:rsidR="00634E66" w:rsidRPr="00CA34F5" w:rsidRDefault="00634E66" w:rsidP="003E3C32">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18,969,265</w:t>
            </w:r>
          </w:p>
        </w:tc>
        <w:tc>
          <w:tcPr>
            <w:tcW w:w="1134" w:type="dxa"/>
            <w:tcBorders>
              <w:top w:val="nil"/>
              <w:left w:val="nil"/>
              <w:bottom w:val="single" w:sz="4" w:space="0" w:color="auto"/>
              <w:right w:val="single" w:sz="4" w:space="0" w:color="auto"/>
            </w:tcBorders>
            <w:shd w:val="clear" w:color="auto" w:fill="auto"/>
            <w:noWrap/>
            <w:vAlign w:val="bottom"/>
            <w:hideMark/>
          </w:tcPr>
          <w:p w14:paraId="7C0E21F3" w14:textId="5AA8E8D9" w:rsidR="00634E66" w:rsidRPr="00CA34F5" w:rsidRDefault="00634E66" w:rsidP="003E3C3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 </w:t>
            </w:r>
            <w:r w:rsidR="0057682A" w:rsidRPr="00CA34F5">
              <w:rPr>
                <w:rFonts w:ascii="Arial" w:eastAsia="Times New Roman" w:hAnsi="Arial" w:cs="Arial"/>
                <w:b/>
                <w:bCs/>
                <w:color w:val="000000"/>
                <w:lang w:eastAsia="es-MX"/>
              </w:rPr>
              <w:t>100</w:t>
            </w:r>
          </w:p>
        </w:tc>
      </w:tr>
    </w:tbl>
    <w:p w14:paraId="617AA0F2" w14:textId="77777777" w:rsidR="00634E66" w:rsidRPr="00CA34F5" w:rsidRDefault="00634E66" w:rsidP="00634E66">
      <w:pPr>
        <w:spacing w:after="0" w:line="240" w:lineRule="auto"/>
        <w:rPr>
          <w:rFonts w:ascii="Arial" w:hAnsi="Arial" w:cs="Arial"/>
          <w:b/>
        </w:rPr>
      </w:pPr>
    </w:p>
    <w:p w14:paraId="1974D1EF" w14:textId="77777777" w:rsidR="00634E66" w:rsidRPr="00CA34F5" w:rsidRDefault="00634E66" w:rsidP="001041DB">
      <w:pPr>
        <w:spacing w:after="0" w:line="240" w:lineRule="auto"/>
        <w:jc w:val="both"/>
        <w:rPr>
          <w:rFonts w:ascii="Arial" w:hAnsi="Arial" w:cs="Arial"/>
          <w:b/>
        </w:rPr>
      </w:pPr>
    </w:p>
    <w:p w14:paraId="1BB48031" w14:textId="77777777" w:rsidR="00470C55" w:rsidRPr="00CA34F5" w:rsidRDefault="00470C55" w:rsidP="001041DB">
      <w:pPr>
        <w:spacing w:after="0" w:line="240" w:lineRule="auto"/>
        <w:jc w:val="both"/>
        <w:rPr>
          <w:rFonts w:ascii="Arial" w:hAnsi="Arial" w:cs="Arial"/>
          <w:b/>
        </w:rPr>
      </w:pPr>
    </w:p>
    <w:p w14:paraId="478AA18A" w14:textId="77777777" w:rsidR="00880B27" w:rsidRPr="00CA34F5" w:rsidRDefault="00880B27" w:rsidP="001041DB">
      <w:pPr>
        <w:spacing w:after="0" w:line="240" w:lineRule="auto"/>
        <w:jc w:val="both"/>
        <w:rPr>
          <w:rFonts w:ascii="Arial" w:hAnsi="Arial" w:cs="Arial"/>
          <w:b/>
        </w:rPr>
      </w:pPr>
    </w:p>
    <w:p w14:paraId="31A68B4D" w14:textId="77777777" w:rsidR="00634E66" w:rsidRPr="00CA34F5" w:rsidRDefault="00634E66" w:rsidP="001041DB">
      <w:pPr>
        <w:spacing w:after="0" w:line="240" w:lineRule="auto"/>
        <w:jc w:val="both"/>
        <w:rPr>
          <w:rFonts w:ascii="Arial" w:hAnsi="Arial" w:cs="Arial"/>
          <w:b/>
        </w:rPr>
      </w:pPr>
    </w:p>
    <w:p w14:paraId="100741CF" w14:textId="77777777" w:rsidR="00470C55" w:rsidRPr="00CA34F5" w:rsidRDefault="00470C55" w:rsidP="00470C55">
      <w:pPr>
        <w:spacing w:line="240" w:lineRule="auto"/>
        <w:jc w:val="both"/>
        <w:rPr>
          <w:rFonts w:ascii="Arial" w:eastAsia="Times New Roman" w:hAnsi="Arial" w:cs="Arial"/>
          <w:b/>
          <w:color w:val="000000"/>
          <w:lang w:eastAsia="es-MX"/>
        </w:rPr>
      </w:pPr>
      <w:r w:rsidRPr="00CA34F5">
        <w:rPr>
          <w:rFonts w:ascii="Arial" w:eastAsia="Times New Roman" w:hAnsi="Arial" w:cs="Arial"/>
          <w:b/>
          <w:color w:val="000000"/>
          <w:lang w:eastAsia="es-MX"/>
        </w:rPr>
        <w:t>Anticipo a Contratistas por Obras Públicas a Corto Plazo $18</w:t>
      </w:r>
      <w:proofErr w:type="gramStart"/>
      <w:r w:rsidRPr="00CA34F5">
        <w:rPr>
          <w:rFonts w:ascii="Arial" w:eastAsia="Times New Roman" w:hAnsi="Arial" w:cs="Arial"/>
          <w:b/>
          <w:color w:val="000000"/>
          <w:lang w:eastAsia="es-MX"/>
        </w:rPr>
        <w:t>,225,553</w:t>
      </w:r>
      <w:proofErr w:type="gramEnd"/>
    </w:p>
    <w:p w14:paraId="01745455" w14:textId="310E3E46" w:rsidR="00470C55" w:rsidRPr="00CA34F5" w:rsidRDefault="00470C55" w:rsidP="00470C55">
      <w:pPr>
        <w:spacing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 xml:space="preserve">El saldo de </w:t>
      </w:r>
      <w:r w:rsidR="003758CE" w:rsidRPr="00CA34F5">
        <w:rPr>
          <w:rFonts w:ascii="Arial" w:eastAsia="Times New Roman" w:hAnsi="Arial" w:cs="Arial"/>
          <w:color w:val="000000"/>
          <w:lang w:eastAsia="es-MX"/>
        </w:rPr>
        <w:t>esta cuenta es</w:t>
      </w:r>
      <w:r w:rsidR="00CD0471" w:rsidRPr="00CA34F5">
        <w:rPr>
          <w:rFonts w:ascii="Arial" w:eastAsia="Times New Roman" w:hAnsi="Arial" w:cs="Arial"/>
          <w:color w:val="000000"/>
          <w:lang w:eastAsia="es-MX"/>
        </w:rPr>
        <w:t xml:space="preserve"> del ejercicio 2015, pendiente</w:t>
      </w:r>
      <w:r w:rsidRPr="00CA34F5">
        <w:rPr>
          <w:rFonts w:ascii="Arial" w:eastAsia="Times New Roman" w:hAnsi="Arial" w:cs="Arial"/>
          <w:color w:val="000000"/>
          <w:lang w:eastAsia="es-MX"/>
        </w:rPr>
        <w:t xml:space="preserve"> por amortizar de los anticipos otorgados a 10 contratistas que se encuentran en procesos jurídicos.</w:t>
      </w:r>
    </w:p>
    <w:p w14:paraId="698C18AC" w14:textId="77777777" w:rsidR="00470C55" w:rsidRPr="00CA34F5" w:rsidRDefault="00470C55" w:rsidP="00470C55">
      <w:pPr>
        <w:spacing w:line="240" w:lineRule="auto"/>
        <w:jc w:val="both"/>
        <w:rPr>
          <w:rFonts w:ascii="Arial" w:eastAsia="Times New Roman" w:hAnsi="Arial" w:cs="Arial"/>
          <w:b/>
          <w:color w:val="000000"/>
          <w:lang w:eastAsia="es-MX"/>
        </w:rPr>
      </w:pPr>
      <w:r w:rsidRPr="00CA34F5">
        <w:rPr>
          <w:rFonts w:ascii="Arial" w:eastAsia="Times New Roman" w:hAnsi="Arial" w:cs="Arial"/>
          <w:b/>
          <w:color w:val="000000"/>
          <w:lang w:eastAsia="es-MX"/>
        </w:rPr>
        <w:t>Otros Derechos a Recibir Bienes o Servicios a Corto Plazo por $743,712</w:t>
      </w:r>
    </w:p>
    <w:p w14:paraId="3E9B77CB" w14:textId="450B752A" w:rsidR="00470C55" w:rsidRPr="00CA34F5" w:rsidRDefault="00470C55" w:rsidP="00470C55">
      <w:pPr>
        <w:spacing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Representa la adquisición con número de grupo 21-10682/c</w:t>
      </w:r>
      <w:r w:rsidR="00997E51" w:rsidRPr="00CA34F5">
        <w:rPr>
          <w:rFonts w:ascii="Arial" w:eastAsia="Times New Roman" w:hAnsi="Arial" w:cs="Arial"/>
          <w:color w:val="000000"/>
          <w:lang w:eastAsia="es-MX"/>
        </w:rPr>
        <w:t>otización CC-029/2021</w:t>
      </w:r>
      <w:r w:rsidRPr="00CA34F5">
        <w:rPr>
          <w:rFonts w:ascii="Arial" w:eastAsia="Times New Roman" w:hAnsi="Arial" w:cs="Arial"/>
          <w:color w:val="000000"/>
          <w:lang w:eastAsia="es-MX"/>
        </w:rPr>
        <w:t xml:space="preserve"> de armamento a la Secretaría </w:t>
      </w:r>
      <w:r w:rsidR="0021357C" w:rsidRPr="00CA34F5">
        <w:rPr>
          <w:rFonts w:ascii="Arial" w:eastAsia="Times New Roman" w:hAnsi="Arial" w:cs="Arial"/>
          <w:color w:val="000000"/>
          <w:lang w:eastAsia="es-MX"/>
        </w:rPr>
        <w:t>de la Defensa Nacional</w:t>
      </w:r>
      <w:r w:rsidRPr="00CA34F5">
        <w:rPr>
          <w:rFonts w:ascii="Arial" w:eastAsia="Times New Roman" w:hAnsi="Arial" w:cs="Arial"/>
          <w:color w:val="000000"/>
          <w:lang w:eastAsia="es-MX"/>
        </w:rPr>
        <w:t xml:space="preserve"> para actividades operativas, la cual no tiene fecha de entrega determinada, ya que se tiene que ajustar a los tiempos de entrega de la SEDENA.</w:t>
      </w:r>
    </w:p>
    <w:p w14:paraId="5BCE3F13" w14:textId="77777777" w:rsidR="00470C55" w:rsidRPr="00CA34F5" w:rsidRDefault="00470C55" w:rsidP="001041DB">
      <w:pPr>
        <w:spacing w:after="0" w:line="240" w:lineRule="auto"/>
        <w:jc w:val="both"/>
        <w:rPr>
          <w:rFonts w:ascii="Arial" w:hAnsi="Arial" w:cs="Arial"/>
        </w:rPr>
      </w:pPr>
    </w:p>
    <w:p w14:paraId="5C28069F" w14:textId="12AE13A9" w:rsidR="006F6EB2" w:rsidRPr="00CA34F5" w:rsidRDefault="006F6EB2" w:rsidP="000A4C31">
      <w:pPr>
        <w:spacing w:after="0" w:line="240" w:lineRule="auto"/>
        <w:jc w:val="both"/>
        <w:rPr>
          <w:rFonts w:ascii="Arial" w:hAnsi="Arial" w:cs="Arial"/>
          <w:b/>
          <w:u w:val="single"/>
        </w:rPr>
      </w:pPr>
      <w:r w:rsidRPr="00CA34F5">
        <w:rPr>
          <w:rFonts w:ascii="Arial" w:hAnsi="Arial" w:cs="Arial"/>
          <w:b/>
          <w:u w:val="single"/>
        </w:rPr>
        <w:t>Bienes disponibles para su</w:t>
      </w:r>
      <w:r w:rsidR="002636F1" w:rsidRPr="00CA34F5">
        <w:rPr>
          <w:rFonts w:ascii="Arial" w:hAnsi="Arial" w:cs="Arial"/>
          <w:b/>
          <w:u w:val="single"/>
        </w:rPr>
        <w:t xml:space="preserve"> Transformación o</w:t>
      </w:r>
      <w:r w:rsidRPr="00CA34F5">
        <w:rPr>
          <w:rFonts w:ascii="Arial" w:hAnsi="Arial" w:cs="Arial"/>
          <w:b/>
          <w:u w:val="single"/>
        </w:rPr>
        <w:t xml:space="preserve"> Consumo</w:t>
      </w:r>
    </w:p>
    <w:p w14:paraId="783F15B2" w14:textId="77777777" w:rsidR="00317FCF" w:rsidRPr="00CA34F5" w:rsidRDefault="00317FCF" w:rsidP="000A4C31">
      <w:pPr>
        <w:spacing w:after="0" w:line="240" w:lineRule="auto"/>
        <w:jc w:val="both"/>
        <w:rPr>
          <w:rFonts w:ascii="Arial" w:eastAsia="Times New Roman" w:hAnsi="Arial" w:cs="Arial"/>
          <w:b/>
          <w:color w:val="000000"/>
          <w:lang w:eastAsia="es-MX"/>
        </w:rPr>
      </w:pPr>
    </w:p>
    <w:p w14:paraId="02458441" w14:textId="77777777" w:rsidR="006F6EB2" w:rsidRPr="00CA34F5" w:rsidRDefault="006F6EB2" w:rsidP="000A4C31">
      <w:pPr>
        <w:spacing w:after="0" w:line="240" w:lineRule="auto"/>
        <w:jc w:val="both"/>
        <w:rPr>
          <w:rFonts w:ascii="Arial" w:eastAsia="Times New Roman" w:hAnsi="Arial" w:cs="Arial"/>
          <w:b/>
          <w:color w:val="000000"/>
          <w:u w:val="single"/>
          <w:lang w:eastAsia="es-MX"/>
        </w:rPr>
      </w:pPr>
      <w:r w:rsidRPr="00CA34F5">
        <w:rPr>
          <w:rFonts w:ascii="Arial" w:eastAsia="Times New Roman" w:hAnsi="Arial" w:cs="Arial"/>
          <w:b/>
          <w:color w:val="000000"/>
          <w:u w:val="single"/>
          <w:lang w:eastAsia="es-MX"/>
        </w:rPr>
        <w:t>Inventario</w:t>
      </w:r>
    </w:p>
    <w:p w14:paraId="4F1D2031" w14:textId="77777777" w:rsidR="00626A2F" w:rsidRPr="00CA34F5" w:rsidRDefault="00626A2F" w:rsidP="000A4C31">
      <w:pPr>
        <w:spacing w:after="0" w:line="240" w:lineRule="auto"/>
        <w:jc w:val="both"/>
        <w:rPr>
          <w:rFonts w:ascii="Arial" w:hAnsi="Arial" w:cs="Arial"/>
          <w:b/>
          <w:bCs/>
          <w:lang w:eastAsia="es-MX"/>
        </w:rPr>
      </w:pPr>
    </w:p>
    <w:p w14:paraId="0162A6F9" w14:textId="2E098CEA" w:rsidR="00626A2F" w:rsidRPr="00CA34F5" w:rsidRDefault="00626A2F" w:rsidP="00626A2F">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EL saldo de esta cuenta es de</w:t>
      </w:r>
      <w:r w:rsidRPr="00CA34F5">
        <w:rPr>
          <w:rFonts w:ascii="Arial" w:eastAsia="Times New Roman" w:hAnsi="Arial" w:cs="Arial"/>
          <w:b/>
          <w:bCs/>
          <w:color w:val="000000"/>
          <w:lang w:eastAsia="es-MX"/>
        </w:rPr>
        <w:t xml:space="preserve"> $92,933</w:t>
      </w:r>
      <w:r w:rsidRPr="00CA34F5">
        <w:rPr>
          <w:rFonts w:ascii="Arial" w:eastAsia="Times New Roman" w:hAnsi="Arial" w:cs="Arial"/>
          <w:color w:val="000000"/>
          <w:lang w:eastAsia="es-MX"/>
        </w:rPr>
        <w:t xml:space="preserve"> y corresponde a la Secretaría de Bienestar, Sustentabilidad y  Cambio Climático.</w:t>
      </w:r>
    </w:p>
    <w:p w14:paraId="70E2FF5E" w14:textId="77777777" w:rsidR="00626A2F" w:rsidRPr="00CA34F5" w:rsidRDefault="00626A2F" w:rsidP="000A4C31">
      <w:pPr>
        <w:spacing w:after="0" w:line="240" w:lineRule="auto"/>
        <w:jc w:val="both"/>
        <w:rPr>
          <w:rFonts w:ascii="Arial" w:hAnsi="Arial" w:cs="Arial"/>
          <w:b/>
          <w:bCs/>
          <w:lang w:eastAsia="es-MX"/>
        </w:rPr>
      </w:pPr>
    </w:p>
    <w:p w14:paraId="230E516C" w14:textId="77777777" w:rsidR="00A8443D" w:rsidRPr="00CA34F5" w:rsidRDefault="00A8443D" w:rsidP="00A8443D">
      <w:pPr>
        <w:spacing w:after="0" w:line="240" w:lineRule="auto"/>
        <w:jc w:val="both"/>
        <w:rPr>
          <w:rFonts w:ascii="Arial" w:eastAsia="Times New Roman" w:hAnsi="Arial" w:cs="Arial"/>
          <w:b/>
          <w:bCs/>
          <w:color w:val="000000"/>
          <w:u w:val="single"/>
          <w:lang w:eastAsia="es-MX"/>
        </w:rPr>
      </w:pPr>
      <w:r w:rsidRPr="00CA34F5">
        <w:rPr>
          <w:rFonts w:ascii="Arial" w:eastAsia="Times New Roman" w:hAnsi="Arial" w:cs="Arial"/>
          <w:b/>
          <w:bCs/>
          <w:color w:val="000000"/>
          <w:u w:val="single"/>
          <w:lang w:eastAsia="es-MX"/>
        </w:rPr>
        <w:t>Almacenes</w:t>
      </w:r>
    </w:p>
    <w:p w14:paraId="4F6B9EAD" w14:textId="77777777" w:rsidR="00626A2F" w:rsidRPr="00CA34F5" w:rsidRDefault="00626A2F" w:rsidP="000A4C31">
      <w:pPr>
        <w:spacing w:after="0" w:line="240" w:lineRule="auto"/>
        <w:jc w:val="both"/>
        <w:rPr>
          <w:rFonts w:ascii="Arial" w:hAnsi="Arial" w:cs="Arial"/>
          <w:b/>
          <w:bCs/>
          <w:lang w:eastAsia="es-MX"/>
        </w:rPr>
      </w:pPr>
    </w:p>
    <w:p w14:paraId="4B491487" w14:textId="77777777" w:rsidR="00A8443D" w:rsidRDefault="00A8443D" w:rsidP="00A8443D">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El saldo de este rubro se integra como sigue:</w:t>
      </w:r>
    </w:p>
    <w:p w14:paraId="74FFEAAC" w14:textId="77777777" w:rsidR="009F5728" w:rsidRDefault="009F5728" w:rsidP="00A8443D">
      <w:pPr>
        <w:spacing w:after="0" w:line="240" w:lineRule="auto"/>
        <w:jc w:val="both"/>
        <w:rPr>
          <w:rFonts w:ascii="Arial" w:eastAsia="Times New Roman" w:hAnsi="Arial" w:cs="Arial"/>
          <w:color w:val="000000"/>
          <w:lang w:eastAsia="es-MX"/>
        </w:rPr>
      </w:pPr>
    </w:p>
    <w:tbl>
      <w:tblPr>
        <w:tblW w:w="9062" w:type="dxa"/>
        <w:jc w:val="center"/>
        <w:tblCellMar>
          <w:left w:w="70" w:type="dxa"/>
          <w:right w:w="70" w:type="dxa"/>
        </w:tblCellMar>
        <w:tblLook w:val="04A0" w:firstRow="1" w:lastRow="0" w:firstColumn="1" w:lastColumn="0" w:noHBand="0" w:noVBand="1"/>
      </w:tblPr>
      <w:tblGrid>
        <w:gridCol w:w="6362"/>
        <w:gridCol w:w="1460"/>
        <w:gridCol w:w="1240"/>
      </w:tblGrid>
      <w:tr w:rsidR="001B3D8F" w:rsidRPr="001B3D8F" w14:paraId="39E73E97" w14:textId="77777777" w:rsidTr="00267429">
        <w:trPr>
          <w:trHeight w:val="300"/>
          <w:jc w:val="center"/>
        </w:trPr>
        <w:tc>
          <w:tcPr>
            <w:tcW w:w="6362"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1EB2BBB" w14:textId="77777777" w:rsidR="001B3D8F" w:rsidRPr="00267429" w:rsidRDefault="001B3D8F" w:rsidP="00267429">
            <w:pPr>
              <w:spacing w:after="0" w:line="240" w:lineRule="auto"/>
              <w:jc w:val="left"/>
              <w:rPr>
                <w:rFonts w:ascii="Arial" w:eastAsia="Times New Roman" w:hAnsi="Arial" w:cs="Arial"/>
                <w:b/>
                <w:bCs/>
                <w:color w:val="000000"/>
                <w:sz w:val="20"/>
                <w:szCs w:val="20"/>
                <w:lang w:eastAsia="es-MX"/>
              </w:rPr>
            </w:pPr>
            <w:r w:rsidRPr="00267429">
              <w:rPr>
                <w:rFonts w:ascii="Arial" w:eastAsia="Times New Roman" w:hAnsi="Arial" w:cs="Arial"/>
                <w:b/>
                <w:bCs/>
                <w:color w:val="000000"/>
                <w:sz w:val="20"/>
                <w:szCs w:val="20"/>
                <w:lang w:eastAsia="es-MX"/>
              </w:rPr>
              <w:t>Nombre</w:t>
            </w:r>
          </w:p>
        </w:tc>
        <w:tc>
          <w:tcPr>
            <w:tcW w:w="1460" w:type="dxa"/>
            <w:tcBorders>
              <w:top w:val="single" w:sz="4" w:space="0" w:color="auto"/>
              <w:left w:val="nil"/>
              <w:bottom w:val="single" w:sz="4" w:space="0" w:color="auto"/>
              <w:right w:val="single" w:sz="4" w:space="0" w:color="auto"/>
            </w:tcBorders>
            <w:shd w:val="clear" w:color="000000" w:fill="D0CECE"/>
            <w:noWrap/>
            <w:vAlign w:val="center"/>
            <w:hideMark/>
          </w:tcPr>
          <w:p w14:paraId="25F968AC" w14:textId="77777777" w:rsidR="001B3D8F" w:rsidRPr="00267429" w:rsidRDefault="001B3D8F" w:rsidP="00267429">
            <w:pPr>
              <w:spacing w:after="0" w:line="240" w:lineRule="auto"/>
              <w:jc w:val="left"/>
              <w:rPr>
                <w:rFonts w:ascii="Arial" w:eastAsia="Times New Roman" w:hAnsi="Arial" w:cs="Arial"/>
                <w:b/>
                <w:bCs/>
                <w:color w:val="000000"/>
                <w:sz w:val="20"/>
                <w:szCs w:val="20"/>
                <w:lang w:eastAsia="es-MX"/>
              </w:rPr>
            </w:pPr>
            <w:r w:rsidRPr="00267429">
              <w:rPr>
                <w:rFonts w:ascii="Arial" w:eastAsia="Times New Roman" w:hAnsi="Arial" w:cs="Arial"/>
                <w:b/>
                <w:bCs/>
                <w:color w:val="000000"/>
                <w:sz w:val="20"/>
                <w:szCs w:val="20"/>
                <w:lang w:eastAsia="es-MX"/>
              </w:rPr>
              <w:t xml:space="preserve"> Importe </w:t>
            </w:r>
          </w:p>
        </w:tc>
        <w:tc>
          <w:tcPr>
            <w:tcW w:w="1240" w:type="dxa"/>
            <w:tcBorders>
              <w:top w:val="single" w:sz="4" w:space="0" w:color="auto"/>
              <w:left w:val="nil"/>
              <w:bottom w:val="single" w:sz="4" w:space="0" w:color="auto"/>
              <w:right w:val="single" w:sz="4" w:space="0" w:color="auto"/>
            </w:tcBorders>
            <w:shd w:val="clear" w:color="000000" w:fill="D0CECE"/>
            <w:noWrap/>
            <w:vAlign w:val="center"/>
            <w:hideMark/>
          </w:tcPr>
          <w:p w14:paraId="6C3149C0" w14:textId="77777777" w:rsidR="001B3D8F" w:rsidRPr="00267429" w:rsidRDefault="001B3D8F" w:rsidP="00267429">
            <w:pPr>
              <w:spacing w:after="0" w:line="240" w:lineRule="auto"/>
              <w:rPr>
                <w:rFonts w:ascii="Arial" w:eastAsia="Times New Roman" w:hAnsi="Arial" w:cs="Arial"/>
                <w:b/>
                <w:bCs/>
                <w:color w:val="000000"/>
                <w:sz w:val="20"/>
                <w:szCs w:val="20"/>
                <w:lang w:eastAsia="es-MX"/>
              </w:rPr>
            </w:pPr>
            <w:r w:rsidRPr="00267429">
              <w:rPr>
                <w:rFonts w:ascii="Arial" w:eastAsia="Times New Roman" w:hAnsi="Arial" w:cs="Arial"/>
                <w:b/>
                <w:bCs/>
                <w:color w:val="000000"/>
                <w:sz w:val="20"/>
                <w:szCs w:val="20"/>
                <w:lang w:eastAsia="es-MX"/>
              </w:rPr>
              <w:t>%</w:t>
            </w:r>
          </w:p>
        </w:tc>
      </w:tr>
      <w:tr w:rsidR="001B3D8F" w:rsidRPr="001B3D8F" w14:paraId="6EC43C29" w14:textId="77777777" w:rsidTr="00267429">
        <w:trPr>
          <w:trHeight w:val="285"/>
          <w:jc w:val="center"/>
        </w:trPr>
        <w:tc>
          <w:tcPr>
            <w:tcW w:w="6362" w:type="dxa"/>
            <w:tcBorders>
              <w:top w:val="nil"/>
              <w:left w:val="single" w:sz="4" w:space="0" w:color="auto"/>
              <w:bottom w:val="single" w:sz="4" w:space="0" w:color="auto"/>
              <w:right w:val="single" w:sz="4" w:space="0" w:color="auto"/>
            </w:tcBorders>
            <w:shd w:val="clear" w:color="auto" w:fill="auto"/>
            <w:noWrap/>
            <w:vAlign w:val="center"/>
            <w:hideMark/>
          </w:tcPr>
          <w:p w14:paraId="7758F9CC" w14:textId="77777777" w:rsidR="001B3D8F" w:rsidRPr="00267429" w:rsidRDefault="001B3D8F" w:rsidP="00267429">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Secretaria De Gobierno</w:t>
            </w:r>
          </w:p>
        </w:tc>
        <w:tc>
          <w:tcPr>
            <w:tcW w:w="1460" w:type="dxa"/>
            <w:tcBorders>
              <w:top w:val="nil"/>
              <w:left w:val="nil"/>
              <w:bottom w:val="single" w:sz="4" w:space="0" w:color="auto"/>
              <w:right w:val="single" w:sz="4" w:space="0" w:color="auto"/>
            </w:tcBorders>
            <w:shd w:val="clear" w:color="auto" w:fill="auto"/>
            <w:noWrap/>
            <w:vAlign w:val="center"/>
            <w:hideMark/>
          </w:tcPr>
          <w:p w14:paraId="2B740A3C" w14:textId="6C38346D" w:rsidR="001B3D8F" w:rsidRPr="00267429" w:rsidRDefault="001B3D8F" w:rsidP="0026742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7,512,565</w:t>
            </w:r>
          </w:p>
        </w:tc>
        <w:tc>
          <w:tcPr>
            <w:tcW w:w="1240" w:type="dxa"/>
            <w:tcBorders>
              <w:top w:val="nil"/>
              <w:left w:val="nil"/>
              <w:bottom w:val="single" w:sz="4" w:space="0" w:color="auto"/>
              <w:right w:val="single" w:sz="4" w:space="0" w:color="auto"/>
            </w:tcBorders>
            <w:shd w:val="clear" w:color="auto" w:fill="auto"/>
            <w:noWrap/>
            <w:vAlign w:val="center"/>
            <w:hideMark/>
          </w:tcPr>
          <w:p w14:paraId="1DB974D8" w14:textId="77777777" w:rsidR="001B3D8F" w:rsidRPr="00267429" w:rsidRDefault="001B3D8F" w:rsidP="0026742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1.02</w:t>
            </w:r>
          </w:p>
        </w:tc>
      </w:tr>
      <w:tr w:rsidR="001B3D8F" w:rsidRPr="001B3D8F" w14:paraId="7BE7D4A7" w14:textId="77777777" w:rsidTr="00267429">
        <w:trPr>
          <w:trHeight w:val="285"/>
          <w:jc w:val="center"/>
        </w:trPr>
        <w:tc>
          <w:tcPr>
            <w:tcW w:w="6362" w:type="dxa"/>
            <w:tcBorders>
              <w:top w:val="nil"/>
              <w:left w:val="single" w:sz="4" w:space="0" w:color="auto"/>
              <w:bottom w:val="single" w:sz="4" w:space="0" w:color="auto"/>
              <w:right w:val="single" w:sz="4" w:space="0" w:color="auto"/>
            </w:tcBorders>
            <w:shd w:val="clear" w:color="auto" w:fill="auto"/>
            <w:noWrap/>
            <w:vAlign w:val="center"/>
            <w:hideMark/>
          </w:tcPr>
          <w:p w14:paraId="7944EBD9" w14:textId="77777777" w:rsidR="001B3D8F" w:rsidRPr="00267429" w:rsidRDefault="001B3D8F" w:rsidP="00267429">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Gubernatura</w:t>
            </w:r>
          </w:p>
        </w:tc>
        <w:tc>
          <w:tcPr>
            <w:tcW w:w="1460" w:type="dxa"/>
            <w:tcBorders>
              <w:top w:val="nil"/>
              <w:left w:val="nil"/>
              <w:bottom w:val="single" w:sz="4" w:space="0" w:color="auto"/>
              <w:right w:val="single" w:sz="4" w:space="0" w:color="auto"/>
            </w:tcBorders>
            <w:shd w:val="clear" w:color="auto" w:fill="auto"/>
            <w:noWrap/>
            <w:vAlign w:val="center"/>
            <w:hideMark/>
          </w:tcPr>
          <w:p w14:paraId="6418E6E1" w14:textId="11862431" w:rsidR="001B3D8F" w:rsidRPr="00267429" w:rsidRDefault="001B3D8F" w:rsidP="0026742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1,696,589</w:t>
            </w:r>
          </w:p>
        </w:tc>
        <w:tc>
          <w:tcPr>
            <w:tcW w:w="1240" w:type="dxa"/>
            <w:tcBorders>
              <w:top w:val="nil"/>
              <w:left w:val="nil"/>
              <w:bottom w:val="single" w:sz="4" w:space="0" w:color="auto"/>
              <w:right w:val="single" w:sz="4" w:space="0" w:color="auto"/>
            </w:tcBorders>
            <w:shd w:val="clear" w:color="auto" w:fill="auto"/>
            <w:noWrap/>
            <w:vAlign w:val="center"/>
            <w:hideMark/>
          </w:tcPr>
          <w:p w14:paraId="2A5E3A1B" w14:textId="77777777" w:rsidR="001B3D8F" w:rsidRPr="00267429" w:rsidRDefault="001B3D8F" w:rsidP="0026742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0.23</w:t>
            </w:r>
          </w:p>
        </w:tc>
      </w:tr>
      <w:tr w:rsidR="001B3D8F" w:rsidRPr="001B3D8F" w14:paraId="4BF6CFCA" w14:textId="77777777" w:rsidTr="00267429">
        <w:trPr>
          <w:trHeight w:val="285"/>
          <w:jc w:val="center"/>
        </w:trPr>
        <w:tc>
          <w:tcPr>
            <w:tcW w:w="6362" w:type="dxa"/>
            <w:tcBorders>
              <w:top w:val="nil"/>
              <w:left w:val="single" w:sz="4" w:space="0" w:color="auto"/>
              <w:bottom w:val="single" w:sz="4" w:space="0" w:color="auto"/>
              <w:right w:val="single" w:sz="4" w:space="0" w:color="auto"/>
            </w:tcBorders>
            <w:shd w:val="clear" w:color="auto" w:fill="auto"/>
            <w:noWrap/>
            <w:vAlign w:val="center"/>
            <w:hideMark/>
          </w:tcPr>
          <w:p w14:paraId="07D60960" w14:textId="77777777" w:rsidR="001B3D8F" w:rsidRPr="00267429" w:rsidRDefault="001B3D8F" w:rsidP="00267429">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Coordinación General De Asuntos Jurídicos</w:t>
            </w:r>
          </w:p>
        </w:tc>
        <w:tc>
          <w:tcPr>
            <w:tcW w:w="1460" w:type="dxa"/>
            <w:tcBorders>
              <w:top w:val="nil"/>
              <w:left w:val="nil"/>
              <w:bottom w:val="single" w:sz="4" w:space="0" w:color="auto"/>
              <w:right w:val="single" w:sz="4" w:space="0" w:color="auto"/>
            </w:tcBorders>
            <w:shd w:val="clear" w:color="auto" w:fill="auto"/>
            <w:noWrap/>
            <w:vAlign w:val="center"/>
            <w:hideMark/>
          </w:tcPr>
          <w:p w14:paraId="39326159" w14:textId="12ED4CB3" w:rsidR="001B3D8F" w:rsidRPr="00267429" w:rsidRDefault="001B3D8F" w:rsidP="0026742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432,918</w:t>
            </w:r>
          </w:p>
        </w:tc>
        <w:tc>
          <w:tcPr>
            <w:tcW w:w="1240" w:type="dxa"/>
            <w:tcBorders>
              <w:top w:val="nil"/>
              <w:left w:val="nil"/>
              <w:bottom w:val="single" w:sz="4" w:space="0" w:color="auto"/>
              <w:right w:val="single" w:sz="4" w:space="0" w:color="auto"/>
            </w:tcBorders>
            <w:shd w:val="clear" w:color="auto" w:fill="auto"/>
            <w:noWrap/>
            <w:vAlign w:val="center"/>
            <w:hideMark/>
          </w:tcPr>
          <w:p w14:paraId="5CCD5305" w14:textId="77777777" w:rsidR="001B3D8F" w:rsidRPr="00267429" w:rsidRDefault="001B3D8F" w:rsidP="0026742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0.06</w:t>
            </w:r>
          </w:p>
        </w:tc>
      </w:tr>
      <w:tr w:rsidR="001B3D8F" w:rsidRPr="001B3D8F" w14:paraId="50352064" w14:textId="77777777" w:rsidTr="00267429">
        <w:trPr>
          <w:trHeight w:val="285"/>
          <w:jc w:val="center"/>
        </w:trPr>
        <w:tc>
          <w:tcPr>
            <w:tcW w:w="6362" w:type="dxa"/>
            <w:tcBorders>
              <w:top w:val="nil"/>
              <w:left w:val="single" w:sz="4" w:space="0" w:color="auto"/>
              <w:bottom w:val="single" w:sz="4" w:space="0" w:color="auto"/>
              <w:right w:val="single" w:sz="4" w:space="0" w:color="auto"/>
            </w:tcBorders>
            <w:shd w:val="clear" w:color="auto" w:fill="auto"/>
            <w:noWrap/>
            <w:vAlign w:val="center"/>
            <w:hideMark/>
          </w:tcPr>
          <w:p w14:paraId="568E6494" w14:textId="77777777" w:rsidR="001B3D8F" w:rsidRPr="00267429" w:rsidRDefault="001B3D8F" w:rsidP="00267429">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Secretaría De Seguridad Y Protección Ciudadana</w:t>
            </w:r>
          </w:p>
        </w:tc>
        <w:tc>
          <w:tcPr>
            <w:tcW w:w="1460" w:type="dxa"/>
            <w:tcBorders>
              <w:top w:val="nil"/>
              <w:left w:val="nil"/>
              <w:bottom w:val="single" w:sz="4" w:space="0" w:color="auto"/>
              <w:right w:val="single" w:sz="4" w:space="0" w:color="auto"/>
            </w:tcBorders>
            <w:shd w:val="clear" w:color="auto" w:fill="auto"/>
            <w:noWrap/>
            <w:vAlign w:val="center"/>
            <w:hideMark/>
          </w:tcPr>
          <w:p w14:paraId="2FB566B2" w14:textId="1905D271" w:rsidR="001B3D8F" w:rsidRPr="00267429" w:rsidRDefault="001B3D8F" w:rsidP="0026742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73,130,966</w:t>
            </w:r>
          </w:p>
        </w:tc>
        <w:tc>
          <w:tcPr>
            <w:tcW w:w="1240" w:type="dxa"/>
            <w:tcBorders>
              <w:top w:val="nil"/>
              <w:left w:val="nil"/>
              <w:bottom w:val="single" w:sz="4" w:space="0" w:color="auto"/>
              <w:right w:val="single" w:sz="4" w:space="0" w:color="auto"/>
            </w:tcBorders>
            <w:shd w:val="clear" w:color="auto" w:fill="auto"/>
            <w:noWrap/>
            <w:vAlign w:val="center"/>
            <w:hideMark/>
          </w:tcPr>
          <w:p w14:paraId="5D3187D7" w14:textId="77777777" w:rsidR="001B3D8F" w:rsidRPr="00267429" w:rsidRDefault="001B3D8F" w:rsidP="0026742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9.96</w:t>
            </w:r>
          </w:p>
        </w:tc>
      </w:tr>
      <w:tr w:rsidR="001B3D8F" w:rsidRPr="001B3D8F" w14:paraId="727D013D" w14:textId="77777777" w:rsidTr="00267429">
        <w:trPr>
          <w:trHeight w:val="285"/>
          <w:jc w:val="center"/>
        </w:trPr>
        <w:tc>
          <w:tcPr>
            <w:tcW w:w="6362" w:type="dxa"/>
            <w:tcBorders>
              <w:top w:val="nil"/>
              <w:left w:val="single" w:sz="4" w:space="0" w:color="auto"/>
              <w:bottom w:val="single" w:sz="4" w:space="0" w:color="auto"/>
              <w:right w:val="single" w:sz="4" w:space="0" w:color="auto"/>
            </w:tcBorders>
            <w:shd w:val="clear" w:color="auto" w:fill="auto"/>
            <w:noWrap/>
            <w:vAlign w:val="center"/>
            <w:hideMark/>
          </w:tcPr>
          <w:p w14:paraId="21287BA4" w14:textId="77777777" w:rsidR="001B3D8F" w:rsidRPr="00267429" w:rsidRDefault="001B3D8F" w:rsidP="00267429">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Secretaria De Bienestar,  Sustentabilidad Y Cambio Climático</w:t>
            </w:r>
          </w:p>
        </w:tc>
        <w:tc>
          <w:tcPr>
            <w:tcW w:w="1460" w:type="dxa"/>
            <w:tcBorders>
              <w:top w:val="nil"/>
              <w:left w:val="nil"/>
              <w:bottom w:val="single" w:sz="4" w:space="0" w:color="auto"/>
              <w:right w:val="single" w:sz="4" w:space="0" w:color="auto"/>
            </w:tcBorders>
            <w:shd w:val="clear" w:color="auto" w:fill="auto"/>
            <w:noWrap/>
            <w:vAlign w:val="center"/>
            <w:hideMark/>
          </w:tcPr>
          <w:p w14:paraId="291BF7DB" w14:textId="7C27D638" w:rsidR="001B3D8F" w:rsidRPr="00267429" w:rsidRDefault="001B3D8F" w:rsidP="0026742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1,163,235</w:t>
            </w:r>
          </w:p>
        </w:tc>
        <w:tc>
          <w:tcPr>
            <w:tcW w:w="1240" w:type="dxa"/>
            <w:tcBorders>
              <w:top w:val="nil"/>
              <w:left w:val="nil"/>
              <w:bottom w:val="single" w:sz="4" w:space="0" w:color="auto"/>
              <w:right w:val="single" w:sz="4" w:space="0" w:color="auto"/>
            </w:tcBorders>
            <w:shd w:val="clear" w:color="auto" w:fill="auto"/>
            <w:noWrap/>
            <w:vAlign w:val="center"/>
            <w:hideMark/>
          </w:tcPr>
          <w:p w14:paraId="310045A8" w14:textId="77777777" w:rsidR="001B3D8F" w:rsidRPr="00267429" w:rsidRDefault="001B3D8F" w:rsidP="0026742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0.16</w:t>
            </w:r>
          </w:p>
        </w:tc>
      </w:tr>
      <w:tr w:rsidR="001B3D8F" w:rsidRPr="001B3D8F" w14:paraId="6EB17351" w14:textId="77777777" w:rsidTr="00267429">
        <w:trPr>
          <w:trHeight w:val="285"/>
          <w:jc w:val="center"/>
        </w:trPr>
        <w:tc>
          <w:tcPr>
            <w:tcW w:w="6362" w:type="dxa"/>
            <w:tcBorders>
              <w:top w:val="nil"/>
              <w:left w:val="single" w:sz="4" w:space="0" w:color="auto"/>
              <w:bottom w:val="single" w:sz="4" w:space="0" w:color="auto"/>
              <w:right w:val="single" w:sz="4" w:space="0" w:color="auto"/>
            </w:tcBorders>
            <w:shd w:val="clear" w:color="auto" w:fill="auto"/>
            <w:noWrap/>
            <w:vAlign w:val="center"/>
            <w:hideMark/>
          </w:tcPr>
          <w:p w14:paraId="40A57EBE" w14:textId="77777777" w:rsidR="001B3D8F" w:rsidRPr="00267429" w:rsidRDefault="001B3D8F" w:rsidP="00267429">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Secretaría Para El Desarrollo Energético</w:t>
            </w:r>
          </w:p>
        </w:tc>
        <w:tc>
          <w:tcPr>
            <w:tcW w:w="1460" w:type="dxa"/>
            <w:tcBorders>
              <w:top w:val="nil"/>
              <w:left w:val="nil"/>
              <w:bottom w:val="single" w:sz="4" w:space="0" w:color="auto"/>
              <w:right w:val="single" w:sz="4" w:space="0" w:color="auto"/>
            </w:tcBorders>
            <w:shd w:val="clear" w:color="auto" w:fill="auto"/>
            <w:noWrap/>
            <w:vAlign w:val="center"/>
            <w:hideMark/>
          </w:tcPr>
          <w:p w14:paraId="27FC02FC" w14:textId="2ADF1F3C" w:rsidR="001B3D8F" w:rsidRPr="00267429" w:rsidRDefault="001B3D8F" w:rsidP="0026742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795,067</w:t>
            </w:r>
          </w:p>
        </w:tc>
        <w:tc>
          <w:tcPr>
            <w:tcW w:w="1240" w:type="dxa"/>
            <w:tcBorders>
              <w:top w:val="nil"/>
              <w:left w:val="nil"/>
              <w:bottom w:val="single" w:sz="4" w:space="0" w:color="auto"/>
              <w:right w:val="single" w:sz="4" w:space="0" w:color="auto"/>
            </w:tcBorders>
            <w:shd w:val="clear" w:color="auto" w:fill="auto"/>
            <w:noWrap/>
            <w:vAlign w:val="center"/>
            <w:hideMark/>
          </w:tcPr>
          <w:p w14:paraId="0A0B4DB9" w14:textId="77777777" w:rsidR="001B3D8F" w:rsidRPr="00267429" w:rsidRDefault="001B3D8F" w:rsidP="0026742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0.11</w:t>
            </w:r>
          </w:p>
        </w:tc>
      </w:tr>
      <w:tr w:rsidR="001B3D8F" w:rsidRPr="001B3D8F" w14:paraId="0ACAD8BB" w14:textId="77777777" w:rsidTr="00267429">
        <w:trPr>
          <w:trHeight w:val="285"/>
          <w:jc w:val="center"/>
        </w:trPr>
        <w:tc>
          <w:tcPr>
            <w:tcW w:w="6362" w:type="dxa"/>
            <w:tcBorders>
              <w:top w:val="nil"/>
              <w:left w:val="single" w:sz="4" w:space="0" w:color="auto"/>
              <w:bottom w:val="single" w:sz="4" w:space="0" w:color="auto"/>
              <w:right w:val="single" w:sz="4" w:space="0" w:color="auto"/>
            </w:tcBorders>
            <w:shd w:val="clear" w:color="auto" w:fill="auto"/>
            <w:noWrap/>
            <w:vAlign w:val="center"/>
            <w:hideMark/>
          </w:tcPr>
          <w:p w14:paraId="28A1E4B6" w14:textId="77777777" w:rsidR="001B3D8F" w:rsidRPr="00267429" w:rsidRDefault="001B3D8F" w:rsidP="00267429">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Secretaría De Educación</w:t>
            </w:r>
          </w:p>
        </w:tc>
        <w:tc>
          <w:tcPr>
            <w:tcW w:w="1460" w:type="dxa"/>
            <w:tcBorders>
              <w:top w:val="nil"/>
              <w:left w:val="nil"/>
              <w:bottom w:val="single" w:sz="4" w:space="0" w:color="auto"/>
              <w:right w:val="single" w:sz="4" w:space="0" w:color="auto"/>
            </w:tcBorders>
            <w:shd w:val="clear" w:color="auto" w:fill="auto"/>
            <w:noWrap/>
            <w:vAlign w:val="center"/>
            <w:hideMark/>
          </w:tcPr>
          <w:p w14:paraId="65CFDE60" w14:textId="3139719B" w:rsidR="001B3D8F" w:rsidRPr="00267429" w:rsidRDefault="001B3D8F" w:rsidP="0026742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109,675,941</w:t>
            </w:r>
          </w:p>
        </w:tc>
        <w:tc>
          <w:tcPr>
            <w:tcW w:w="1240" w:type="dxa"/>
            <w:tcBorders>
              <w:top w:val="nil"/>
              <w:left w:val="nil"/>
              <w:bottom w:val="single" w:sz="4" w:space="0" w:color="auto"/>
              <w:right w:val="single" w:sz="4" w:space="0" w:color="auto"/>
            </w:tcBorders>
            <w:shd w:val="clear" w:color="auto" w:fill="auto"/>
            <w:noWrap/>
            <w:vAlign w:val="center"/>
            <w:hideMark/>
          </w:tcPr>
          <w:p w14:paraId="7292F4EB" w14:textId="77777777" w:rsidR="001B3D8F" w:rsidRPr="00267429" w:rsidRDefault="001B3D8F" w:rsidP="0026742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14.93</w:t>
            </w:r>
          </w:p>
        </w:tc>
      </w:tr>
      <w:tr w:rsidR="001B3D8F" w:rsidRPr="001B3D8F" w14:paraId="19960EE5" w14:textId="77777777" w:rsidTr="00267429">
        <w:trPr>
          <w:trHeight w:val="285"/>
          <w:jc w:val="center"/>
        </w:trPr>
        <w:tc>
          <w:tcPr>
            <w:tcW w:w="6362" w:type="dxa"/>
            <w:tcBorders>
              <w:top w:val="nil"/>
              <w:left w:val="single" w:sz="4" w:space="0" w:color="auto"/>
              <w:bottom w:val="single" w:sz="4" w:space="0" w:color="auto"/>
              <w:right w:val="single" w:sz="4" w:space="0" w:color="auto"/>
            </w:tcBorders>
            <w:shd w:val="clear" w:color="auto" w:fill="auto"/>
            <w:noWrap/>
            <w:vAlign w:val="center"/>
            <w:hideMark/>
          </w:tcPr>
          <w:p w14:paraId="22E92D11" w14:textId="77777777" w:rsidR="001B3D8F" w:rsidRPr="00267429" w:rsidRDefault="001B3D8F" w:rsidP="00267429">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Secretaría De Salud</w:t>
            </w:r>
          </w:p>
        </w:tc>
        <w:tc>
          <w:tcPr>
            <w:tcW w:w="1460" w:type="dxa"/>
            <w:tcBorders>
              <w:top w:val="nil"/>
              <w:left w:val="nil"/>
              <w:bottom w:val="single" w:sz="4" w:space="0" w:color="auto"/>
              <w:right w:val="single" w:sz="4" w:space="0" w:color="auto"/>
            </w:tcBorders>
            <w:shd w:val="clear" w:color="auto" w:fill="auto"/>
            <w:noWrap/>
            <w:vAlign w:val="center"/>
            <w:hideMark/>
          </w:tcPr>
          <w:p w14:paraId="6672A251" w14:textId="30A0D57C" w:rsidR="001B3D8F" w:rsidRPr="00267429" w:rsidRDefault="001B3D8F" w:rsidP="0026742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512,389,797</w:t>
            </w:r>
          </w:p>
        </w:tc>
        <w:tc>
          <w:tcPr>
            <w:tcW w:w="1240" w:type="dxa"/>
            <w:tcBorders>
              <w:top w:val="nil"/>
              <w:left w:val="nil"/>
              <w:bottom w:val="single" w:sz="4" w:space="0" w:color="auto"/>
              <w:right w:val="single" w:sz="4" w:space="0" w:color="auto"/>
            </w:tcBorders>
            <w:shd w:val="clear" w:color="auto" w:fill="auto"/>
            <w:noWrap/>
            <w:vAlign w:val="center"/>
            <w:hideMark/>
          </w:tcPr>
          <w:p w14:paraId="56C9DFA8" w14:textId="77777777" w:rsidR="001B3D8F" w:rsidRPr="00267429" w:rsidRDefault="001B3D8F" w:rsidP="0026742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69.77</w:t>
            </w:r>
          </w:p>
        </w:tc>
      </w:tr>
      <w:tr w:rsidR="001B3D8F" w:rsidRPr="001B3D8F" w14:paraId="3143747B" w14:textId="77777777" w:rsidTr="00267429">
        <w:trPr>
          <w:trHeight w:val="285"/>
          <w:jc w:val="center"/>
        </w:trPr>
        <w:tc>
          <w:tcPr>
            <w:tcW w:w="6362" w:type="dxa"/>
            <w:tcBorders>
              <w:top w:val="nil"/>
              <w:left w:val="single" w:sz="4" w:space="0" w:color="auto"/>
              <w:bottom w:val="single" w:sz="4" w:space="0" w:color="auto"/>
              <w:right w:val="single" w:sz="4" w:space="0" w:color="auto"/>
            </w:tcBorders>
            <w:shd w:val="clear" w:color="auto" w:fill="auto"/>
            <w:noWrap/>
            <w:vAlign w:val="center"/>
            <w:hideMark/>
          </w:tcPr>
          <w:p w14:paraId="2CC61905" w14:textId="77777777" w:rsidR="001B3D8F" w:rsidRPr="00267429" w:rsidRDefault="001B3D8F" w:rsidP="00267429">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Secretaría De Cultura</w:t>
            </w:r>
          </w:p>
        </w:tc>
        <w:tc>
          <w:tcPr>
            <w:tcW w:w="1460" w:type="dxa"/>
            <w:tcBorders>
              <w:top w:val="nil"/>
              <w:left w:val="nil"/>
              <w:bottom w:val="single" w:sz="4" w:space="0" w:color="auto"/>
              <w:right w:val="single" w:sz="4" w:space="0" w:color="auto"/>
            </w:tcBorders>
            <w:shd w:val="clear" w:color="auto" w:fill="auto"/>
            <w:noWrap/>
            <w:vAlign w:val="center"/>
            <w:hideMark/>
          </w:tcPr>
          <w:p w14:paraId="46BAA6A3" w14:textId="75A43293" w:rsidR="001B3D8F" w:rsidRPr="00267429" w:rsidRDefault="001B3D8F" w:rsidP="0026742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1,310,683</w:t>
            </w:r>
          </w:p>
        </w:tc>
        <w:tc>
          <w:tcPr>
            <w:tcW w:w="1240" w:type="dxa"/>
            <w:tcBorders>
              <w:top w:val="nil"/>
              <w:left w:val="nil"/>
              <w:bottom w:val="single" w:sz="4" w:space="0" w:color="auto"/>
              <w:right w:val="single" w:sz="4" w:space="0" w:color="auto"/>
            </w:tcBorders>
            <w:shd w:val="clear" w:color="auto" w:fill="auto"/>
            <w:noWrap/>
            <w:vAlign w:val="center"/>
            <w:hideMark/>
          </w:tcPr>
          <w:p w14:paraId="0197A28C" w14:textId="77777777" w:rsidR="001B3D8F" w:rsidRPr="00267429" w:rsidRDefault="001B3D8F" w:rsidP="0026742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0.18</w:t>
            </w:r>
          </w:p>
        </w:tc>
      </w:tr>
      <w:tr w:rsidR="001B3D8F" w:rsidRPr="001B3D8F" w14:paraId="0CCAC458" w14:textId="77777777" w:rsidTr="00267429">
        <w:trPr>
          <w:trHeight w:val="285"/>
          <w:jc w:val="center"/>
        </w:trPr>
        <w:tc>
          <w:tcPr>
            <w:tcW w:w="6362" w:type="dxa"/>
            <w:tcBorders>
              <w:top w:val="nil"/>
              <w:left w:val="single" w:sz="4" w:space="0" w:color="auto"/>
              <w:bottom w:val="single" w:sz="4" w:space="0" w:color="auto"/>
              <w:right w:val="single" w:sz="4" w:space="0" w:color="auto"/>
            </w:tcBorders>
            <w:shd w:val="clear" w:color="auto" w:fill="auto"/>
            <w:noWrap/>
            <w:vAlign w:val="center"/>
            <w:hideMark/>
          </w:tcPr>
          <w:p w14:paraId="03D85F31" w14:textId="77777777" w:rsidR="001B3D8F" w:rsidRPr="00267429" w:rsidRDefault="001B3D8F" w:rsidP="00267429">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Secretaría Para El  Desarrollo Económico Y La Competitividad</w:t>
            </w:r>
          </w:p>
        </w:tc>
        <w:tc>
          <w:tcPr>
            <w:tcW w:w="1460" w:type="dxa"/>
            <w:tcBorders>
              <w:top w:val="nil"/>
              <w:left w:val="nil"/>
              <w:bottom w:val="single" w:sz="4" w:space="0" w:color="auto"/>
              <w:right w:val="single" w:sz="4" w:space="0" w:color="auto"/>
            </w:tcBorders>
            <w:shd w:val="clear" w:color="auto" w:fill="auto"/>
            <w:noWrap/>
            <w:vAlign w:val="center"/>
            <w:hideMark/>
          </w:tcPr>
          <w:p w14:paraId="1EC884E0" w14:textId="0DC2C43C" w:rsidR="001B3D8F" w:rsidRPr="00267429" w:rsidRDefault="001B3D8F" w:rsidP="0026742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177,084</w:t>
            </w:r>
          </w:p>
        </w:tc>
        <w:tc>
          <w:tcPr>
            <w:tcW w:w="1240" w:type="dxa"/>
            <w:tcBorders>
              <w:top w:val="nil"/>
              <w:left w:val="nil"/>
              <w:bottom w:val="single" w:sz="4" w:space="0" w:color="auto"/>
              <w:right w:val="single" w:sz="4" w:space="0" w:color="auto"/>
            </w:tcBorders>
            <w:shd w:val="clear" w:color="auto" w:fill="auto"/>
            <w:noWrap/>
            <w:vAlign w:val="center"/>
            <w:hideMark/>
          </w:tcPr>
          <w:p w14:paraId="0D9E4BB3" w14:textId="77777777" w:rsidR="001B3D8F" w:rsidRPr="00267429" w:rsidRDefault="001B3D8F" w:rsidP="0026742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0.02</w:t>
            </w:r>
          </w:p>
        </w:tc>
      </w:tr>
      <w:tr w:rsidR="001B3D8F" w:rsidRPr="001B3D8F" w14:paraId="4937F9DC" w14:textId="77777777" w:rsidTr="00267429">
        <w:trPr>
          <w:trHeight w:val="285"/>
          <w:jc w:val="center"/>
        </w:trPr>
        <w:tc>
          <w:tcPr>
            <w:tcW w:w="6362" w:type="dxa"/>
            <w:tcBorders>
              <w:top w:val="nil"/>
              <w:left w:val="single" w:sz="4" w:space="0" w:color="auto"/>
              <w:bottom w:val="single" w:sz="4" w:space="0" w:color="auto"/>
              <w:right w:val="single" w:sz="4" w:space="0" w:color="auto"/>
            </w:tcBorders>
            <w:shd w:val="clear" w:color="auto" w:fill="auto"/>
            <w:noWrap/>
            <w:vAlign w:val="center"/>
            <w:hideMark/>
          </w:tcPr>
          <w:p w14:paraId="59DB298A" w14:textId="77777777" w:rsidR="001B3D8F" w:rsidRPr="00267429" w:rsidRDefault="001B3D8F" w:rsidP="00267429">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Secretaría De Turismo</w:t>
            </w:r>
          </w:p>
        </w:tc>
        <w:tc>
          <w:tcPr>
            <w:tcW w:w="1460" w:type="dxa"/>
            <w:tcBorders>
              <w:top w:val="nil"/>
              <w:left w:val="nil"/>
              <w:bottom w:val="single" w:sz="4" w:space="0" w:color="auto"/>
              <w:right w:val="single" w:sz="4" w:space="0" w:color="auto"/>
            </w:tcBorders>
            <w:shd w:val="clear" w:color="auto" w:fill="auto"/>
            <w:noWrap/>
            <w:vAlign w:val="center"/>
            <w:hideMark/>
          </w:tcPr>
          <w:p w14:paraId="47D572DB" w14:textId="00CA09FE" w:rsidR="001B3D8F" w:rsidRPr="00267429" w:rsidRDefault="001B3D8F" w:rsidP="0026742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908,560</w:t>
            </w:r>
          </w:p>
        </w:tc>
        <w:tc>
          <w:tcPr>
            <w:tcW w:w="1240" w:type="dxa"/>
            <w:tcBorders>
              <w:top w:val="nil"/>
              <w:left w:val="nil"/>
              <w:bottom w:val="single" w:sz="4" w:space="0" w:color="auto"/>
              <w:right w:val="single" w:sz="4" w:space="0" w:color="auto"/>
            </w:tcBorders>
            <w:shd w:val="clear" w:color="auto" w:fill="auto"/>
            <w:noWrap/>
            <w:vAlign w:val="center"/>
            <w:hideMark/>
          </w:tcPr>
          <w:p w14:paraId="62A403F0" w14:textId="77777777" w:rsidR="001B3D8F" w:rsidRPr="00267429" w:rsidRDefault="001B3D8F" w:rsidP="0026742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0.12</w:t>
            </w:r>
          </w:p>
        </w:tc>
      </w:tr>
      <w:tr w:rsidR="001B3D8F" w:rsidRPr="001B3D8F" w14:paraId="3B3BC73C" w14:textId="77777777" w:rsidTr="00267429">
        <w:trPr>
          <w:trHeight w:val="285"/>
          <w:jc w:val="center"/>
        </w:trPr>
        <w:tc>
          <w:tcPr>
            <w:tcW w:w="6362" w:type="dxa"/>
            <w:tcBorders>
              <w:top w:val="nil"/>
              <w:left w:val="single" w:sz="4" w:space="0" w:color="auto"/>
              <w:bottom w:val="single" w:sz="4" w:space="0" w:color="auto"/>
              <w:right w:val="single" w:sz="4" w:space="0" w:color="auto"/>
            </w:tcBorders>
            <w:shd w:val="clear" w:color="auto" w:fill="auto"/>
            <w:noWrap/>
            <w:vAlign w:val="center"/>
            <w:hideMark/>
          </w:tcPr>
          <w:p w14:paraId="03794770" w14:textId="77777777" w:rsidR="001B3D8F" w:rsidRPr="00267429" w:rsidRDefault="001B3D8F" w:rsidP="00267429">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Secretaría De Desarrollo Agropecuario, Forestal Y Pesca</w:t>
            </w:r>
          </w:p>
        </w:tc>
        <w:tc>
          <w:tcPr>
            <w:tcW w:w="1460" w:type="dxa"/>
            <w:tcBorders>
              <w:top w:val="nil"/>
              <w:left w:val="nil"/>
              <w:bottom w:val="single" w:sz="4" w:space="0" w:color="auto"/>
              <w:right w:val="single" w:sz="4" w:space="0" w:color="auto"/>
            </w:tcBorders>
            <w:shd w:val="clear" w:color="auto" w:fill="auto"/>
            <w:noWrap/>
            <w:vAlign w:val="center"/>
            <w:hideMark/>
          </w:tcPr>
          <w:p w14:paraId="5EB65759" w14:textId="77777777" w:rsidR="001B3D8F" w:rsidRPr="00267429" w:rsidRDefault="001B3D8F" w:rsidP="0026742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 xml:space="preserve">       1,201,001 </w:t>
            </w:r>
          </w:p>
        </w:tc>
        <w:tc>
          <w:tcPr>
            <w:tcW w:w="1240" w:type="dxa"/>
            <w:tcBorders>
              <w:top w:val="nil"/>
              <w:left w:val="nil"/>
              <w:bottom w:val="single" w:sz="4" w:space="0" w:color="auto"/>
              <w:right w:val="single" w:sz="4" w:space="0" w:color="auto"/>
            </w:tcBorders>
            <w:shd w:val="clear" w:color="auto" w:fill="auto"/>
            <w:noWrap/>
            <w:vAlign w:val="center"/>
            <w:hideMark/>
          </w:tcPr>
          <w:p w14:paraId="1441CC00" w14:textId="77777777" w:rsidR="001B3D8F" w:rsidRPr="00267429" w:rsidRDefault="001B3D8F" w:rsidP="0026742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0.16</w:t>
            </w:r>
          </w:p>
        </w:tc>
      </w:tr>
      <w:tr w:rsidR="001B3D8F" w:rsidRPr="001B3D8F" w14:paraId="4FC91C94" w14:textId="77777777" w:rsidTr="00267429">
        <w:trPr>
          <w:trHeight w:val="285"/>
          <w:jc w:val="center"/>
        </w:trPr>
        <w:tc>
          <w:tcPr>
            <w:tcW w:w="6362" w:type="dxa"/>
            <w:tcBorders>
              <w:top w:val="nil"/>
              <w:left w:val="single" w:sz="4" w:space="0" w:color="auto"/>
              <w:bottom w:val="single" w:sz="4" w:space="0" w:color="auto"/>
              <w:right w:val="single" w:sz="4" w:space="0" w:color="auto"/>
            </w:tcBorders>
            <w:shd w:val="clear" w:color="auto" w:fill="auto"/>
            <w:noWrap/>
            <w:vAlign w:val="center"/>
            <w:hideMark/>
          </w:tcPr>
          <w:p w14:paraId="7F571B37" w14:textId="77777777" w:rsidR="001B3D8F" w:rsidRPr="001B3D8F" w:rsidRDefault="001B3D8F" w:rsidP="001B3D8F">
            <w:pPr>
              <w:spacing w:after="0" w:line="240" w:lineRule="auto"/>
              <w:jc w:val="left"/>
              <w:rPr>
                <w:rFonts w:ascii="Calibri" w:eastAsia="Times New Roman" w:hAnsi="Calibri" w:cs="Calibri"/>
                <w:color w:val="000000"/>
                <w:sz w:val="20"/>
                <w:szCs w:val="20"/>
                <w:lang w:eastAsia="es-MX"/>
              </w:rPr>
            </w:pPr>
            <w:r w:rsidRPr="001B3D8F">
              <w:rPr>
                <w:rFonts w:ascii="Calibri" w:eastAsia="Times New Roman" w:hAnsi="Calibri" w:cs="Calibri"/>
                <w:color w:val="000000"/>
                <w:sz w:val="20"/>
                <w:szCs w:val="20"/>
                <w:lang w:eastAsia="es-MX"/>
              </w:rPr>
              <w:t>Secretaría De Movilidad</w:t>
            </w:r>
          </w:p>
        </w:tc>
        <w:tc>
          <w:tcPr>
            <w:tcW w:w="1460" w:type="dxa"/>
            <w:tcBorders>
              <w:top w:val="nil"/>
              <w:left w:val="nil"/>
              <w:bottom w:val="single" w:sz="4" w:space="0" w:color="auto"/>
              <w:right w:val="single" w:sz="4" w:space="0" w:color="auto"/>
            </w:tcBorders>
            <w:shd w:val="clear" w:color="auto" w:fill="auto"/>
            <w:noWrap/>
            <w:vAlign w:val="bottom"/>
            <w:hideMark/>
          </w:tcPr>
          <w:p w14:paraId="4BBC05B1" w14:textId="77777777" w:rsidR="001B3D8F" w:rsidRPr="001B3D8F" w:rsidRDefault="001B3D8F" w:rsidP="00267429">
            <w:pPr>
              <w:spacing w:after="0" w:line="240" w:lineRule="auto"/>
              <w:jc w:val="right"/>
              <w:rPr>
                <w:rFonts w:ascii="Arial" w:eastAsia="Times New Roman" w:hAnsi="Arial" w:cs="Arial"/>
                <w:color w:val="000000"/>
                <w:sz w:val="20"/>
                <w:szCs w:val="20"/>
                <w:lang w:eastAsia="es-MX"/>
              </w:rPr>
            </w:pPr>
            <w:r w:rsidRPr="001B3D8F">
              <w:rPr>
                <w:rFonts w:ascii="Arial" w:eastAsia="Times New Roman" w:hAnsi="Arial" w:cs="Arial"/>
                <w:color w:val="000000"/>
                <w:sz w:val="20"/>
                <w:szCs w:val="20"/>
                <w:lang w:eastAsia="es-MX"/>
              </w:rPr>
              <w:t xml:space="preserve">          248,180 </w:t>
            </w:r>
          </w:p>
        </w:tc>
        <w:tc>
          <w:tcPr>
            <w:tcW w:w="1240" w:type="dxa"/>
            <w:tcBorders>
              <w:top w:val="nil"/>
              <w:left w:val="nil"/>
              <w:bottom w:val="single" w:sz="4" w:space="0" w:color="auto"/>
              <w:right w:val="single" w:sz="4" w:space="0" w:color="auto"/>
            </w:tcBorders>
            <w:shd w:val="clear" w:color="auto" w:fill="auto"/>
            <w:noWrap/>
            <w:vAlign w:val="bottom"/>
            <w:hideMark/>
          </w:tcPr>
          <w:p w14:paraId="073322C2" w14:textId="77777777" w:rsidR="001B3D8F" w:rsidRPr="001B3D8F" w:rsidRDefault="001B3D8F" w:rsidP="00267429">
            <w:pPr>
              <w:spacing w:after="0" w:line="240" w:lineRule="auto"/>
              <w:rPr>
                <w:rFonts w:ascii="Arial" w:eastAsia="Times New Roman" w:hAnsi="Arial" w:cs="Arial"/>
                <w:color w:val="000000"/>
                <w:sz w:val="20"/>
                <w:szCs w:val="20"/>
                <w:lang w:eastAsia="es-MX"/>
              </w:rPr>
            </w:pPr>
            <w:r w:rsidRPr="001B3D8F">
              <w:rPr>
                <w:rFonts w:ascii="Arial" w:eastAsia="Times New Roman" w:hAnsi="Arial" w:cs="Arial"/>
                <w:color w:val="000000"/>
                <w:sz w:val="20"/>
                <w:szCs w:val="20"/>
                <w:lang w:eastAsia="es-MX"/>
              </w:rPr>
              <w:t>0.03</w:t>
            </w:r>
          </w:p>
        </w:tc>
      </w:tr>
      <w:tr w:rsidR="001B3D8F" w:rsidRPr="001B3D8F" w14:paraId="5D9CB54B" w14:textId="77777777" w:rsidTr="00267429">
        <w:trPr>
          <w:trHeight w:val="285"/>
          <w:jc w:val="center"/>
        </w:trPr>
        <w:tc>
          <w:tcPr>
            <w:tcW w:w="6362" w:type="dxa"/>
            <w:tcBorders>
              <w:top w:val="nil"/>
              <w:left w:val="single" w:sz="4" w:space="0" w:color="auto"/>
              <w:bottom w:val="single" w:sz="4" w:space="0" w:color="auto"/>
              <w:right w:val="single" w:sz="4" w:space="0" w:color="auto"/>
            </w:tcBorders>
            <w:shd w:val="clear" w:color="auto" w:fill="auto"/>
            <w:noWrap/>
            <w:vAlign w:val="center"/>
            <w:hideMark/>
          </w:tcPr>
          <w:p w14:paraId="715A4B21" w14:textId="77777777" w:rsidR="001B3D8F" w:rsidRPr="00267429" w:rsidRDefault="001B3D8F" w:rsidP="001B3D8F">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Secretaría De Ordenamiento Territorial Y Obras Públicas</w:t>
            </w:r>
          </w:p>
        </w:tc>
        <w:tc>
          <w:tcPr>
            <w:tcW w:w="1460" w:type="dxa"/>
            <w:tcBorders>
              <w:top w:val="nil"/>
              <w:left w:val="nil"/>
              <w:bottom w:val="single" w:sz="4" w:space="0" w:color="auto"/>
              <w:right w:val="single" w:sz="4" w:space="0" w:color="auto"/>
            </w:tcBorders>
            <w:shd w:val="clear" w:color="auto" w:fill="auto"/>
            <w:noWrap/>
            <w:vAlign w:val="bottom"/>
            <w:hideMark/>
          </w:tcPr>
          <w:p w14:paraId="30012A60" w14:textId="77777777" w:rsidR="001B3D8F" w:rsidRPr="00267429" w:rsidRDefault="001B3D8F" w:rsidP="0026742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 xml:space="preserve">          339,608 </w:t>
            </w:r>
          </w:p>
        </w:tc>
        <w:tc>
          <w:tcPr>
            <w:tcW w:w="1240" w:type="dxa"/>
            <w:tcBorders>
              <w:top w:val="nil"/>
              <w:left w:val="nil"/>
              <w:bottom w:val="single" w:sz="4" w:space="0" w:color="auto"/>
              <w:right w:val="single" w:sz="4" w:space="0" w:color="auto"/>
            </w:tcBorders>
            <w:shd w:val="clear" w:color="auto" w:fill="auto"/>
            <w:noWrap/>
            <w:vAlign w:val="bottom"/>
            <w:hideMark/>
          </w:tcPr>
          <w:p w14:paraId="37C3623E" w14:textId="77777777" w:rsidR="001B3D8F" w:rsidRPr="00267429" w:rsidRDefault="001B3D8F" w:rsidP="0026742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0.05</w:t>
            </w:r>
          </w:p>
        </w:tc>
      </w:tr>
      <w:tr w:rsidR="001B3D8F" w:rsidRPr="001B3D8F" w14:paraId="2DFD57FA" w14:textId="77777777" w:rsidTr="00267429">
        <w:trPr>
          <w:trHeight w:val="285"/>
          <w:jc w:val="center"/>
        </w:trPr>
        <w:tc>
          <w:tcPr>
            <w:tcW w:w="6362" w:type="dxa"/>
            <w:tcBorders>
              <w:top w:val="nil"/>
              <w:left w:val="single" w:sz="4" w:space="0" w:color="auto"/>
              <w:bottom w:val="single" w:sz="4" w:space="0" w:color="auto"/>
              <w:right w:val="single" w:sz="4" w:space="0" w:color="auto"/>
            </w:tcBorders>
            <w:shd w:val="clear" w:color="auto" w:fill="auto"/>
            <w:noWrap/>
            <w:vAlign w:val="center"/>
            <w:hideMark/>
          </w:tcPr>
          <w:p w14:paraId="5FE3F71B" w14:textId="77777777" w:rsidR="001B3D8F" w:rsidRPr="00267429" w:rsidRDefault="001B3D8F" w:rsidP="001B3D8F">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lastRenderedPageBreak/>
              <w:t>Secretaría De Finanzas</w:t>
            </w:r>
          </w:p>
        </w:tc>
        <w:tc>
          <w:tcPr>
            <w:tcW w:w="1460" w:type="dxa"/>
            <w:tcBorders>
              <w:top w:val="nil"/>
              <w:left w:val="nil"/>
              <w:bottom w:val="single" w:sz="4" w:space="0" w:color="auto"/>
              <w:right w:val="single" w:sz="4" w:space="0" w:color="auto"/>
            </w:tcBorders>
            <w:shd w:val="clear" w:color="auto" w:fill="auto"/>
            <w:noWrap/>
            <w:vAlign w:val="bottom"/>
            <w:hideMark/>
          </w:tcPr>
          <w:p w14:paraId="478BA01F" w14:textId="2CBFFB3B" w:rsidR="001B3D8F" w:rsidRPr="00267429" w:rsidRDefault="001B3D8F" w:rsidP="0026742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 xml:space="preserve">     15,070,925 </w:t>
            </w:r>
          </w:p>
        </w:tc>
        <w:tc>
          <w:tcPr>
            <w:tcW w:w="1240" w:type="dxa"/>
            <w:tcBorders>
              <w:top w:val="nil"/>
              <w:left w:val="nil"/>
              <w:bottom w:val="single" w:sz="4" w:space="0" w:color="auto"/>
              <w:right w:val="single" w:sz="4" w:space="0" w:color="auto"/>
            </w:tcBorders>
            <w:shd w:val="clear" w:color="auto" w:fill="auto"/>
            <w:noWrap/>
            <w:vAlign w:val="bottom"/>
            <w:hideMark/>
          </w:tcPr>
          <w:p w14:paraId="528AB2E2" w14:textId="77777777" w:rsidR="001B3D8F" w:rsidRPr="00267429" w:rsidRDefault="001B3D8F" w:rsidP="0026742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2.05</w:t>
            </w:r>
          </w:p>
        </w:tc>
      </w:tr>
      <w:tr w:rsidR="001B3D8F" w:rsidRPr="001B3D8F" w14:paraId="7BA95760" w14:textId="77777777" w:rsidTr="00267429">
        <w:trPr>
          <w:trHeight w:val="285"/>
          <w:jc w:val="center"/>
        </w:trPr>
        <w:tc>
          <w:tcPr>
            <w:tcW w:w="6362" w:type="dxa"/>
            <w:tcBorders>
              <w:top w:val="nil"/>
              <w:left w:val="single" w:sz="4" w:space="0" w:color="auto"/>
              <w:bottom w:val="single" w:sz="4" w:space="0" w:color="auto"/>
              <w:right w:val="single" w:sz="4" w:space="0" w:color="auto"/>
            </w:tcBorders>
            <w:shd w:val="clear" w:color="auto" w:fill="auto"/>
            <w:noWrap/>
            <w:vAlign w:val="center"/>
            <w:hideMark/>
          </w:tcPr>
          <w:p w14:paraId="6B24DD6C" w14:textId="77777777" w:rsidR="001B3D8F" w:rsidRPr="00267429" w:rsidRDefault="001B3D8F" w:rsidP="001B3D8F">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Secretaría De Administración E Innovación Gubernamental</w:t>
            </w:r>
          </w:p>
        </w:tc>
        <w:tc>
          <w:tcPr>
            <w:tcW w:w="1460" w:type="dxa"/>
            <w:tcBorders>
              <w:top w:val="nil"/>
              <w:left w:val="nil"/>
              <w:bottom w:val="single" w:sz="4" w:space="0" w:color="auto"/>
              <w:right w:val="single" w:sz="4" w:space="0" w:color="auto"/>
            </w:tcBorders>
            <w:shd w:val="clear" w:color="auto" w:fill="auto"/>
            <w:noWrap/>
            <w:vAlign w:val="bottom"/>
            <w:hideMark/>
          </w:tcPr>
          <w:p w14:paraId="004F5CA4" w14:textId="77777777" w:rsidR="001B3D8F" w:rsidRPr="00267429" w:rsidRDefault="001B3D8F" w:rsidP="0026742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 xml:space="preserve">       4,514,338 </w:t>
            </w:r>
          </w:p>
        </w:tc>
        <w:tc>
          <w:tcPr>
            <w:tcW w:w="1240" w:type="dxa"/>
            <w:tcBorders>
              <w:top w:val="nil"/>
              <w:left w:val="nil"/>
              <w:bottom w:val="single" w:sz="4" w:space="0" w:color="auto"/>
              <w:right w:val="single" w:sz="4" w:space="0" w:color="auto"/>
            </w:tcBorders>
            <w:shd w:val="clear" w:color="auto" w:fill="auto"/>
            <w:noWrap/>
            <w:vAlign w:val="bottom"/>
            <w:hideMark/>
          </w:tcPr>
          <w:p w14:paraId="7FA1C256" w14:textId="77777777" w:rsidR="001B3D8F" w:rsidRPr="00267429" w:rsidRDefault="001B3D8F" w:rsidP="0026742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0.61</w:t>
            </w:r>
          </w:p>
        </w:tc>
      </w:tr>
      <w:tr w:rsidR="001B3D8F" w:rsidRPr="001B3D8F" w14:paraId="2010E2B4" w14:textId="77777777" w:rsidTr="00267429">
        <w:trPr>
          <w:trHeight w:val="285"/>
          <w:jc w:val="center"/>
        </w:trPr>
        <w:tc>
          <w:tcPr>
            <w:tcW w:w="6362" w:type="dxa"/>
            <w:tcBorders>
              <w:top w:val="nil"/>
              <w:left w:val="single" w:sz="4" w:space="0" w:color="auto"/>
              <w:bottom w:val="single" w:sz="4" w:space="0" w:color="auto"/>
              <w:right w:val="single" w:sz="4" w:space="0" w:color="auto"/>
            </w:tcBorders>
            <w:shd w:val="clear" w:color="auto" w:fill="auto"/>
            <w:noWrap/>
            <w:vAlign w:val="center"/>
            <w:hideMark/>
          </w:tcPr>
          <w:p w14:paraId="2A89E8F3" w14:textId="77777777" w:rsidR="001B3D8F" w:rsidRPr="00267429" w:rsidRDefault="001B3D8F" w:rsidP="001B3D8F">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Secretaría De La Función Pública</w:t>
            </w:r>
          </w:p>
        </w:tc>
        <w:tc>
          <w:tcPr>
            <w:tcW w:w="1460" w:type="dxa"/>
            <w:tcBorders>
              <w:top w:val="nil"/>
              <w:left w:val="nil"/>
              <w:bottom w:val="single" w:sz="4" w:space="0" w:color="auto"/>
              <w:right w:val="single" w:sz="4" w:space="0" w:color="auto"/>
            </w:tcBorders>
            <w:shd w:val="clear" w:color="auto" w:fill="auto"/>
            <w:noWrap/>
            <w:vAlign w:val="bottom"/>
            <w:hideMark/>
          </w:tcPr>
          <w:p w14:paraId="07BA7B7C" w14:textId="77777777" w:rsidR="001B3D8F" w:rsidRPr="00267429" w:rsidRDefault="001B3D8F" w:rsidP="0026742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 xml:space="preserve">       1,600,622 </w:t>
            </w:r>
          </w:p>
        </w:tc>
        <w:tc>
          <w:tcPr>
            <w:tcW w:w="1240" w:type="dxa"/>
            <w:tcBorders>
              <w:top w:val="nil"/>
              <w:left w:val="nil"/>
              <w:bottom w:val="single" w:sz="4" w:space="0" w:color="auto"/>
              <w:right w:val="single" w:sz="4" w:space="0" w:color="auto"/>
            </w:tcBorders>
            <w:shd w:val="clear" w:color="auto" w:fill="auto"/>
            <w:noWrap/>
            <w:vAlign w:val="bottom"/>
            <w:hideMark/>
          </w:tcPr>
          <w:p w14:paraId="18200949" w14:textId="77777777" w:rsidR="001B3D8F" w:rsidRPr="00267429" w:rsidRDefault="001B3D8F" w:rsidP="0026742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0.22</w:t>
            </w:r>
          </w:p>
        </w:tc>
      </w:tr>
      <w:tr w:rsidR="001B3D8F" w:rsidRPr="001B3D8F" w14:paraId="767A74E2" w14:textId="77777777" w:rsidTr="00267429">
        <w:trPr>
          <w:trHeight w:val="285"/>
          <w:jc w:val="center"/>
        </w:trPr>
        <w:tc>
          <w:tcPr>
            <w:tcW w:w="6362" w:type="dxa"/>
            <w:tcBorders>
              <w:top w:val="nil"/>
              <w:left w:val="single" w:sz="4" w:space="0" w:color="auto"/>
              <w:bottom w:val="single" w:sz="4" w:space="0" w:color="auto"/>
              <w:right w:val="single" w:sz="4" w:space="0" w:color="auto"/>
            </w:tcBorders>
            <w:shd w:val="clear" w:color="auto" w:fill="auto"/>
            <w:noWrap/>
            <w:vAlign w:val="center"/>
            <w:hideMark/>
          </w:tcPr>
          <w:p w14:paraId="42D5DB2C" w14:textId="77777777" w:rsidR="001B3D8F" w:rsidRPr="00267429" w:rsidRDefault="001B3D8F" w:rsidP="001B3D8F">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Comisión Estatal De Búsqueda De Personas</w:t>
            </w:r>
          </w:p>
        </w:tc>
        <w:tc>
          <w:tcPr>
            <w:tcW w:w="1460" w:type="dxa"/>
            <w:tcBorders>
              <w:top w:val="nil"/>
              <w:left w:val="nil"/>
              <w:bottom w:val="single" w:sz="4" w:space="0" w:color="auto"/>
              <w:right w:val="single" w:sz="4" w:space="0" w:color="auto"/>
            </w:tcBorders>
            <w:shd w:val="clear" w:color="auto" w:fill="auto"/>
            <w:noWrap/>
            <w:vAlign w:val="bottom"/>
            <w:hideMark/>
          </w:tcPr>
          <w:p w14:paraId="21460146" w14:textId="77777777" w:rsidR="001B3D8F" w:rsidRPr="00267429" w:rsidRDefault="001B3D8F" w:rsidP="0026742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 xml:space="preserve">          167,565 </w:t>
            </w:r>
          </w:p>
        </w:tc>
        <w:tc>
          <w:tcPr>
            <w:tcW w:w="1240" w:type="dxa"/>
            <w:tcBorders>
              <w:top w:val="nil"/>
              <w:left w:val="nil"/>
              <w:bottom w:val="single" w:sz="4" w:space="0" w:color="auto"/>
              <w:right w:val="single" w:sz="4" w:space="0" w:color="auto"/>
            </w:tcBorders>
            <w:shd w:val="clear" w:color="auto" w:fill="auto"/>
            <w:noWrap/>
            <w:vAlign w:val="bottom"/>
            <w:hideMark/>
          </w:tcPr>
          <w:p w14:paraId="15ABAF8D" w14:textId="77777777" w:rsidR="001B3D8F" w:rsidRPr="00267429" w:rsidRDefault="001B3D8F" w:rsidP="0026742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0.02</w:t>
            </w:r>
          </w:p>
        </w:tc>
      </w:tr>
      <w:tr w:rsidR="001B3D8F" w:rsidRPr="001B3D8F" w14:paraId="1CFCE190" w14:textId="77777777" w:rsidTr="00267429">
        <w:trPr>
          <w:trHeight w:val="285"/>
          <w:jc w:val="center"/>
        </w:trPr>
        <w:tc>
          <w:tcPr>
            <w:tcW w:w="6362" w:type="dxa"/>
            <w:tcBorders>
              <w:top w:val="nil"/>
              <w:left w:val="single" w:sz="4" w:space="0" w:color="auto"/>
              <w:bottom w:val="single" w:sz="4" w:space="0" w:color="auto"/>
              <w:right w:val="single" w:sz="4" w:space="0" w:color="auto"/>
            </w:tcBorders>
            <w:shd w:val="clear" w:color="auto" w:fill="auto"/>
            <w:noWrap/>
            <w:vAlign w:val="center"/>
            <w:hideMark/>
          </w:tcPr>
          <w:p w14:paraId="52E2F8F0" w14:textId="77777777" w:rsidR="001B3D8F" w:rsidRPr="00267429" w:rsidRDefault="001B3D8F" w:rsidP="001B3D8F">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Comisión Estatal Forestal</w:t>
            </w:r>
          </w:p>
        </w:tc>
        <w:tc>
          <w:tcPr>
            <w:tcW w:w="1460" w:type="dxa"/>
            <w:tcBorders>
              <w:top w:val="nil"/>
              <w:left w:val="nil"/>
              <w:bottom w:val="single" w:sz="4" w:space="0" w:color="auto"/>
              <w:right w:val="single" w:sz="4" w:space="0" w:color="auto"/>
            </w:tcBorders>
            <w:shd w:val="clear" w:color="auto" w:fill="auto"/>
            <w:noWrap/>
            <w:vAlign w:val="bottom"/>
            <w:hideMark/>
          </w:tcPr>
          <w:p w14:paraId="6874EC52" w14:textId="77777777" w:rsidR="001B3D8F" w:rsidRPr="00267429" w:rsidRDefault="001B3D8F" w:rsidP="0026742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 xml:space="preserve">          297,925 </w:t>
            </w:r>
          </w:p>
        </w:tc>
        <w:tc>
          <w:tcPr>
            <w:tcW w:w="1240" w:type="dxa"/>
            <w:tcBorders>
              <w:top w:val="nil"/>
              <w:left w:val="nil"/>
              <w:bottom w:val="single" w:sz="4" w:space="0" w:color="auto"/>
              <w:right w:val="single" w:sz="4" w:space="0" w:color="auto"/>
            </w:tcBorders>
            <w:shd w:val="clear" w:color="auto" w:fill="auto"/>
            <w:noWrap/>
            <w:vAlign w:val="bottom"/>
            <w:hideMark/>
          </w:tcPr>
          <w:p w14:paraId="689AFD86" w14:textId="77777777" w:rsidR="001B3D8F" w:rsidRPr="00267429" w:rsidRDefault="001B3D8F" w:rsidP="0026742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0.04</w:t>
            </w:r>
          </w:p>
        </w:tc>
      </w:tr>
      <w:tr w:rsidR="001B3D8F" w:rsidRPr="001B3D8F" w14:paraId="28C780BA" w14:textId="77777777" w:rsidTr="00267429">
        <w:trPr>
          <w:trHeight w:val="285"/>
          <w:jc w:val="center"/>
        </w:trPr>
        <w:tc>
          <w:tcPr>
            <w:tcW w:w="6362" w:type="dxa"/>
            <w:tcBorders>
              <w:top w:val="nil"/>
              <w:left w:val="single" w:sz="4" w:space="0" w:color="auto"/>
              <w:bottom w:val="single" w:sz="4" w:space="0" w:color="auto"/>
              <w:right w:val="single" w:sz="4" w:space="0" w:color="auto"/>
            </w:tcBorders>
            <w:shd w:val="clear" w:color="auto" w:fill="auto"/>
            <w:noWrap/>
            <w:vAlign w:val="center"/>
            <w:hideMark/>
          </w:tcPr>
          <w:p w14:paraId="2C6609A9" w14:textId="77777777" w:rsidR="001B3D8F" w:rsidRPr="00267429" w:rsidRDefault="001B3D8F" w:rsidP="001B3D8F">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Secretariado Ejecutivo Del Sistema Estatal  De Seguridad Pública</w:t>
            </w:r>
          </w:p>
        </w:tc>
        <w:tc>
          <w:tcPr>
            <w:tcW w:w="1460" w:type="dxa"/>
            <w:tcBorders>
              <w:top w:val="nil"/>
              <w:left w:val="nil"/>
              <w:bottom w:val="single" w:sz="4" w:space="0" w:color="auto"/>
              <w:right w:val="single" w:sz="4" w:space="0" w:color="auto"/>
            </w:tcBorders>
            <w:shd w:val="clear" w:color="auto" w:fill="auto"/>
            <w:noWrap/>
            <w:vAlign w:val="bottom"/>
            <w:hideMark/>
          </w:tcPr>
          <w:p w14:paraId="618D62A6" w14:textId="77777777" w:rsidR="001B3D8F" w:rsidRPr="00267429" w:rsidRDefault="001B3D8F" w:rsidP="0026742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 xml:space="preserve">       1,426,346 </w:t>
            </w:r>
          </w:p>
        </w:tc>
        <w:tc>
          <w:tcPr>
            <w:tcW w:w="1240" w:type="dxa"/>
            <w:tcBorders>
              <w:top w:val="nil"/>
              <w:left w:val="nil"/>
              <w:bottom w:val="single" w:sz="4" w:space="0" w:color="auto"/>
              <w:right w:val="single" w:sz="4" w:space="0" w:color="auto"/>
            </w:tcBorders>
            <w:shd w:val="clear" w:color="auto" w:fill="auto"/>
            <w:noWrap/>
            <w:vAlign w:val="bottom"/>
            <w:hideMark/>
          </w:tcPr>
          <w:p w14:paraId="080E545F" w14:textId="77777777" w:rsidR="001B3D8F" w:rsidRPr="00267429" w:rsidRDefault="001B3D8F" w:rsidP="0026742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0.19</w:t>
            </w:r>
          </w:p>
        </w:tc>
      </w:tr>
      <w:tr w:rsidR="001B3D8F" w:rsidRPr="001B3D8F" w14:paraId="47C3CFFA" w14:textId="77777777" w:rsidTr="00267429">
        <w:trPr>
          <w:trHeight w:val="285"/>
          <w:jc w:val="center"/>
        </w:trPr>
        <w:tc>
          <w:tcPr>
            <w:tcW w:w="6362" w:type="dxa"/>
            <w:tcBorders>
              <w:top w:val="nil"/>
              <w:left w:val="single" w:sz="4" w:space="0" w:color="auto"/>
              <w:bottom w:val="single" w:sz="4" w:space="0" w:color="auto"/>
              <w:right w:val="single" w:sz="4" w:space="0" w:color="auto"/>
            </w:tcBorders>
            <w:shd w:val="clear" w:color="auto" w:fill="auto"/>
            <w:noWrap/>
            <w:vAlign w:val="center"/>
            <w:hideMark/>
          </w:tcPr>
          <w:p w14:paraId="08A22C9A" w14:textId="77777777" w:rsidR="001B3D8F" w:rsidRPr="00267429" w:rsidRDefault="001B3D8F" w:rsidP="001B3D8F">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Servicio Estatal De Empleo</w:t>
            </w:r>
          </w:p>
        </w:tc>
        <w:tc>
          <w:tcPr>
            <w:tcW w:w="1460" w:type="dxa"/>
            <w:tcBorders>
              <w:top w:val="nil"/>
              <w:left w:val="nil"/>
              <w:bottom w:val="single" w:sz="4" w:space="0" w:color="auto"/>
              <w:right w:val="single" w:sz="4" w:space="0" w:color="auto"/>
            </w:tcBorders>
            <w:shd w:val="clear" w:color="auto" w:fill="auto"/>
            <w:noWrap/>
            <w:vAlign w:val="bottom"/>
            <w:hideMark/>
          </w:tcPr>
          <w:p w14:paraId="5095B8EE" w14:textId="77777777" w:rsidR="001B3D8F" w:rsidRPr="00267429" w:rsidRDefault="001B3D8F" w:rsidP="0026742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 xml:space="preserve">          356,278 </w:t>
            </w:r>
          </w:p>
        </w:tc>
        <w:tc>
          <w:tcPr>
            <w:tcW w:w="1240" w:type="dxa"/>
            <w:tcBorders>
              <w:top w:val="nil"/>
              <w:left w:val="nil"/>
              <w:bottom w:val="single" w:sz="4" w:space="0" w:color="auto"/>
              <w:right w:val="single" w:sz="4" w:space="0" w:color="auto"/>
            </w:tcBorders>
            <w:shd w:val="clear" w:color="auto" w:fill="auto"/>
            <w:noWrap/>
            <w:vAlign w:val="bottom"/>
            <w:hideMark/>
          </w:tcPr>
          <w:p w14:paraId="1AE46A04" w14:textId="77777777" w:rsidR="001B3D8F" w:rsidRPr="00267429" w:rsidRDefault="001B3D8F" w:rsidP="0026742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0.05</w:t>
            </w:r>
          </w:p>
        </w:tc>
      </w:tr>
      <w:tr w:rsidR="001B3D8F" w:rsidRPr="001B3D8F" w14:paraId="00FDC82C" w14:textId="77777777" w:rsidTr="00267429">
        <w:trPr>
          <w:trHeight w:val="285"/>
          <w:jc w:val="center"/>
        </w:trPr>
        <w:tc>
          <w:tcPr>
            <w:tcW w:w="6362" w:type="dxa"/>
            <w:tcBorders>
              <w:top w:val="nil"/>
              <w:left w:val="single" w:sz="4" w:space="0" w:color="auto"/>
              <w:bottom w:val="single" w:sz="4" w:space="0" w:color="auto"/>
              <w:right w:val="single" w:sz="4" w:space="0" w:color="auto"/>
            </w:tcBorders>
            <w:shd w:val="clear" w:color="auto" w:fill="auto"/>
            <w:noWrap/>
            <w:vAlign w:val="bottom"/>
            <w:hideMark/>
          </w:tcPr>
          <w:p w14:paraId="3E0E9053" w14:textId="77777777" w:rsidR="001B3D8F" w:rsidRPr="00267429" w:rsidRDefault="001B3D8F" w:rsidP="001B3D8F">
            <w:pPr>
              <w:spacing w:after="0" w:line="240" w:lineRule="auto"/>
              <w:jc w:val="right"/>
              <w:rPr>
                <w:rFonts w:ascii="Arial" w:eastAsia="Times New Roman" w:hAnsi="Arial" w:cs="Arial"/>
                <w:b/>
                <w:bCs/>
                <w:color w:val="000000"/>
                <w:sz w:val="20"/>
                <w:szCs w:val="20"/>
                <w:lang w:eastAsia="es-MX"/>
              </w:rPr>
            </w:pPr>
            <w:r w:rsidRPr="00267429">
              <w:rPr>
                <w:rFonts w:ascii="Arial" w:eastAsia="Times New Roman" w:hAnsi="Arial" w:cs="Arial"/>
                <w:b/>
                <w:bCs/>
                <w:color w:val="000000"/>
                <w:sz w:val="20"/>
                <w:szCs w:val="20"/>
                <w:lang w:eastAsia="es-MX"/>
              </w:rPr>
              <w:t xml:space="preserve">Total </w:t>
            </w:r>
          </w:p>
        </w:tc>
        <w:tc>
          <w:tcPr>
            <w:tcW w:w="1460" w:type="dxa"/>
            <w:tcBorders>
              <w:top w:val="nil"/>
              <w:left w:val="nil"/>
              <w:bottom w:val="single" w:sz="4" w:space="0" w:color="auto"/>
              <w:right w:val="single" w:sz="4" w:space="0" w:color="auto"/>
            </w:tcBorders>
            <w:shd w:val="clear" w:color="auto" w:fill="auto"/>
            <w:noWrap/>
            <w:vAlign w:val="bottom"/>
            <w:hideMark/>
          </w:tcPr>
          <w:p w14:paraId="4FC38636" w14:textId="53FBD3F6" w:rsidR="001B3D8F" w:rsidRPr="00267429" w:rsidRDefault="001B3D8F" w:rsidP="00267429">
            <w:pPr>
              <w:spacing w:after="0" w:line="240" w:lineRule="auto"/>
              <w:jc w:val="right"/>
              <w:rPr>
                <w:rFonts w:ascii="Arial" w:eastAsia="Times New Roman" w:hAnsi="Arial" w:cs="Arial"/>
                <w:b/>
                <w:bCs/>
                <w:color w:val="000000"/>
                <w:sz w:val="20"/>
                <w:szCs w:val="20"/>
                <w:lang w:eastAsia="es-MX"/>
              </w:rPr>
            </w:pPr>
            <w:r w:rsidRPr="00267429">
              <w:rPr>
                <w:rFonts w:ascii="Arial" w:eastAsia="Times New Roman" w:hAnsi="Arial" w:cs="Arial"/>
                <w:b/>
                <w:bCs/>
                <w:color w:val="000000"/>
                <w:sz w:val="20"/>
                <w:szCs w:val="20"/>
                <w:lang w:eastAsia="es-MX"/>
              </w:rPr>
              <w:t xml:space="preserve">   734,416,194 </w:t>
            </w:r>
          </w:p>
        </w:tc>
        <w:tc>
          <w:tcPr>
            <w:tcW w:w="1240" w:type="dxa"/>
            <w:tcBorders>
              <w:top w:val="nil"/>
              <w:left w:val="nil"/>
              <w:bottom w:val="single" w:sz="4" w:space="0" w:color="auto"/>
              <w:right w:val="single" w:sz="4" w:space="0" w:color="auto"/>
            </w:tcBorders>
            <w:shd w:val="clear" w:color="auto" w:fill="auto"/>
            <w:noWrap/>
            <w:vAlign w:val="bottom"/>
            <w:hideMark/>
          </w:tcPr>
          <w:p w14:paraId="1B009917" w14:textId="77777777" w:rsidR="001B3D8F" w:rsidRPr="00267429" w:rsidRDefault="001B3D8F" w:rsidP="00267429">
            <w:pPr>
              <w:spacing w:after="0" w:line="240" w:lineRule="auto"/>
              <w:rPr>
                <w:rFonts w:ascii="Arial" w:eastAsia="Times New Roman" w:hAnsi="Arial" w:cs="Arial"/>
                <w:b/>
                <w:bCs/>
                <w:color w:val="000000"/>
                <w:sz w:val="20"/>
                <w:szCs w:val="20"/>
                <w:lang w:eastAsia="es-MX"/>
              </w:rPr>
            </w:pPr>
            <w:r w:rsidRPr="00267429">
              <w:rPr>
                <w:rFonts w:ascii="Arial" w:eastAsia="Times New Roman" w:hAnsi="Arial" w:cs="Arial"/>
                <w:b/>
                <w:bCs/>
                <w:color w:val="000000"/>
                <w:sz w:val="20"/>
                <w:szCs w:val="20"/>
                <w:lang w:eastAsia="es-MX"/>
              </w:rPr>
              <w:t>100</w:t>
            </w:r>
          </w:p>
        </w:tc>
      </w:tr>
    </w:tbl>
    <w:p w14:paraId="5E5322C3" w14:textId="77777777" w:rsidR="009F5728" w:rsidRPr="00CA34F5" w:rsidRDefault="009F5728" w:rsidP="00A8443D">
      <w:pPr>
        <w:spacing w:after="0" w:line="240" w:lineRule="auto"/>
        <w:jc w:val="both"/>
        <w:rPr>
          <w:rFonts w:ascii="Arial" w:eastAsia="Times New Roman" w:hAnsi="Arial" w:cs="Arial"/>
          <w:color w:val="000000"/>
          <w:lang w:eastAsia="es-MX"/>
        </w:rPr>
      </w:pPr>
    </w:p>
    <w:p w14:paraId="53768E3F" w14:textId="683702CF" w:rsidR="00AF17A2" w:rsidRPr="00CA34F5" w:rsidRDefault="00C44EE1" w:rsidP="000A4C31">
      <w:pPr>
        <w:spacing w:line="240" w:lineRule="auto"/>
        <w:jc w:val="both"/>
        <w:rPr>
          <w:rFonts w:ascii="Arial" w:hAnsi="Arial" w:cs="Arial"/>
          <w:bCs/>
          <w:lang w:eastAsia="es-MX"/>
        </w:rPr>
      </w:pPr>
      <w:r w:rsidRPr="00CA34F5">
        <w:rPr>
          <w:rFonts w:ascii="Arial" w:hAnsi="Arial" w:cs="Arial"/>
          <w:bCs/>
          <w:lang w:eastAsia="es-MX"/>
        </w:rPr>
        <w:t>Saldos con</w:t>
      </w:r>
      <w:r w:rsidR="00CB26B1" w:rsidRPr="00CA34F5">
        <w:rPr>
          <w:rFonts w:ascii="Arial" w:hAnsi="Arial" w:cs="Arial"/>
          <w:bCs/>
          <w:lang w:eastAsia="es-MX"/>
        </w:rPr>
        <w:t>c</w:t>
      </w:r>
      <w:r w:rsidRPr="00CA34F5">
        <w:rPr>
          <w:rFonts w:ascii="Arial" w:hAnsi="Arial" w:cs="Arial"/>
          <w:bCs/>
          <w:lang w:eastAsia="es-MX"/>
        </w:rPr>
        <w:t>iliados con las Dependencias y Órganos Desconcentrados sin RFC</w:t>
      </w:r>
      <w:r w:rsidR="00FE2C16" w:rsidRPr="00CA34F5">
        <w:rPr>
          <w:rFonts w:ascii="Arial" w:hAnsi="Arial" w:cs="Arial"/>
          <w:bCs/>
          <w:lang w:eastAsia="es-MX"/>
        </w:rPr>
        <w:t>.</w:t>
      </w:r>
    </w:p>
    <w:p w14:paraId="5A80EC10" w14:textId="77777777" w:rsidR="00457B47" w:rsidRDefault="00457B47" w:rsidP="001041DB">
      <w:pPr>
        <w:spacing w:after="0" w:line="240" w:lineRule="auto"/>
        <w:jc w:val="both"/>
        <w:rPr>
          <w:rFonts w:ascii="Arial" w:hAnsi="Arial" w:cs="Arial"/>
          <w:b/>
          <w:bCs/>
          <w:u w:val="single"/>
          <w:lang w:eastAsia="es-MX"/>
        </w:rPr>
      </w:pPr>
    </w:p>
    <w:p w14:paraId="2ADC1FA7" w14:textId="77777777" w:rsidR="001B3D8F" w:rsidRDefault="001B3D8F" w:rsidP="001041DB">
      <w:pPr>
        <w:spacing w:after="0" w:line="240" w:lineRule="auto"/>
        <w:jc w:val="both"/>
        <w:rPr>
          <w:rFonts w:ascii="Arial" w:hAnsi="Arial" w:cs="Arial"/>
          <w:b/>
          <w:bCs/>
          <w:u w:val="single"/>
          <w:lang w:eastAsia="es-MX"/>
        </w:rPr>
      </w:pPr>
    </w:p>
    <w:p w14:paraId="0D9A50EA" w14:textId="410D6654" w:rsidR="001041DB" w:rsidRPr="00CA34F5" w:rsidRDefault="00AB56B9" w:rsidP="001041DB">
      <w:pPr>
        <w:spacing w:after="0" w:line="240" w:lineRule="auto"/>
        <w:jc w:val="both"/>
        <w:rPr>
          <w:rFonts w:ascii="Arial" w:hAnsi="Arial" w:cs="Arial"/>
          <w:b/>
        </w:rPr>
      </w:pPr>
      <w:r w:rsidRPr="00CA34F5">
        <w:rPr>
          <w:rFonts w:ascii="Arial" w:hAnsi="Arial" w:cs="Arial"/>
          <w:b/>
          <w:bCs/>
          <w:u w:val="single"/>
          <w:lang w:eastAsia="es-MX"/>
        </w:rPr>
        <w:t>Inversiones Financieras</w:t>
      </w:r>
      <w:r w:rsidR="00CB1927" w:rsidRPr="00CA34F5">
        <w:rPr>
          <w:rFonts w:ascii="Arial" w:hAnsi="Arial" w:cs="Arial"/>
          <w:b/>
          <w:bCs/>
          <w:u w:val="single"/>
          <w:lang w:eastAsia="es-MX"/>
        </w:rPr>
        <w:t xml:space="preserve"> a Largo Plazo</w:t>
      </w:r>
      <w:r w:rsidR="002E2014" w:rsidRPr="00CA34F5">
        <w:rPr>
          <w:rFonts w:ascii="Arial" w:hAnsi="Arial" w:cs="Arial"/>
          <w:b/>
          <w:bCs/>
          <w:u w:val="single"/>
          <w:lang w:eastAsia="es-MX"/>
        </w:rPr>
        <w:t xml:space="preserve">  </w:t>
      </w:r>
    </w:p>
    <w:p w14:paraId="3A1B8446" w14:textId="77777777" w:rsidR="00750C99" w:rsidRPr="00CA34F5" w:rsidRDefault="00750C99" w:rsidP="001041DB">
      <w:pPr>
        <w:spacing w:after="0" w:line="240" w:lineRule="auto"/>
        <w:jc w:val="both"/>
        <w:rPr>
          <w:rFonts w:ascii="Arial" w:hAnsi="Arial" w:cs="Arial"/>
        </w:rPr>
      </w:pPr>
    </w:p>
    <w:p w14:paraId="2A6D1C6A" w14:textId="30B4226C" w:rsidR="00750C99" w:rsidRPr="00CA34F5" w:rsidRDefault="0079441A" w:rsidP="00EB264C">
      <w:pPr>
        <w:spacing w:after="0" w:line="240" w:lineRule="auto"/>
        <w:jc w:val="both"/>
        <w:rPr>
          <w:rFonts w:ascii="Arial" w:hAnsi="Arial" w:cs="Arial"/>
        </w:rPr>
      </w:pPr>
      <w:r w:rsidRPr="00CA34F5">
        <w:rPr>
          <w:rFonts w:ascii="Arial" w:hAnsi="Arial" w:cs="Arial"/>
        </w:rPr>
        <w:t>Este</w:t>
      </w:r>
      <w:r w:rsidR="006479F3" w:rsidRPr="00CA34F5">
        <w:rPr>
          <w:rFonts w:ascii="Arial" w:hAnsi="Arial" w:cs="Arial"/>
        </w:rPr>
        <w:t xml:space="preserve"> rubro es por $ </w:t>
      </w:r>
      <w:r w:rsidR="00942C75" w:rsidRPr="00CA34F5">
        <w:rPr>
          <w:rFonts w:ascii="Arial" w:eastAsia="Times New Roman" w:hAnsi="Arial" w:cs="Arial"/>
          <w:b/>
          <w:color w:val="000000"/>
          <w:lang w:eastAsia="es-MX"/>
        </w:rPr>
        <w:t>652</w:t>
      </w:r>
      <w:proofErr w:type="gramStart"/>
      <w:r w:rsidR="00942C75" w:rsidRPr="00CA34F5">
        <w:rPr>
          <w:rFonts w:ascii="Arial" w:eastAsia="Times New Roman" w:hAnsi="Arial" w:cs="Arial"/>
          <w:b/>
          <w:color w:val="000000"/>
          <w:lang w:eastAsia="es-MX"/>
        </w:rPr>
        <w:t>,640</w:t>
      </w:r>
      <w:r w:rsidR="002261E8" w:rsidRPr="00CA34F5">
        <w:rPr>
          <w:rFonts w:ascii="Arial" w:eastAsia="Times New Roman" w:hAnsi="Arial" w:cs="Arial"/>
          <w:b/>
          <w:color w:val="000000"/>
          <w:lang w:eastAsia="es-MX"/>
        </w:rPr>
        <w:t>,769</w:t>
      </w:r>
      <w:proofErr w:type="gramEnd"/>
      <w:r w:rsidR="00942C75" w:rsidRPr="00CA34F5">
        <w:rPr>
          <w:rFonts w:ascii="Arial" w:eastAsia="Times New Roman" w:hAnsi="Arial" w:cs="Arial"/>
          <w:color w:val="000000"/>
          <w:lang w:eastAsia="es-MX"/>
        </w:rPr>
        <w:t xml:space="preserve"> </w:t>
      </w:r>
      <w:r w:rsidR="006479F3" w:rsidRPr="00CA34F5">
        <w:rPr>
          <w:rFonts w:ascii="Arial" w:hAnsi="Arial" w:cs="Arial"/>
        </w:rPr>
        <w:t>integrado como sigue:</w:t>
      </w:r>
    </w:p>
    <w:p w14:paraId="1B10D21A" w14:textId="36E7C61B" w:rsidR="002E2014" w:rsidRPr="00CA34F5" w:rsidRDefault="0079441A" w:rsidP="00EB264C">
      <w:pPr>
        <w:spacing w:after="0" w:line="240" w:lineRule="auto"/>
        <w:jc w:val="both"/>
        <w:rPr>
          <w:rFonts w:ascii="Arial" w:hAnsi="Arial" w:cs="Arial"/>
          <w:color w:val="000000"/>
          <w:lang w:eastAsia="es-MX"/>
        </w:rPr>
      </w:pPr>
      <w:r w:rsidRPr="00CA34F5">
        <w:rPr>
          <w:rFonts w:ascii="Arial" w:hAnsi="Arial" w:cs="Arial"/>
        </w:rPr>
        <w:t xml:space="preserve">  </w:t>
      </w:r>
    </w:p>
    <w:p w14:paraId="4A4F576C" w14:textId="7FA784A4" w:rsidR="0079441A" w:rsidRPr="00CA34F5" w:rsidRDefault="0079441A" w:rsidP="00750C99">
      <w:pPr>
        <w:pStyle w:val="Prrafodelista"/>
        <w:numPr>
          <w:ilvl w:val="0"/>
          <w:numId w:val="29"/>
        </w:numPr>
        <w:spacing w:after="0" w:line="240" w:lineRule="auto"/>
        <w:jc w:val="both"/>
        <w:rPr>
          <w:rFonts w:ascii="Arial" w:hAnsi="Arial" w:cs="Arial"/>
          <w:color w:val="000000"/>
          <w:lang w:eastAsia="es-MX"/>
        </w:rPr>
      </w:pPr>
      <w:r w:rsidRPr="00CA34F5">
        <w:rPr>
          <w:rFonts w:ascii="Arial" w:hAnsi="Arial" w:cs="Arial"/>
          <w:color w:val="000000"/>
          <w:lang w:eastAsia="es-MX"/>
        </w:rPr>
        <w:t>Fideic</w:t>
      </w:r>
      <w:r w:rsidR="00697A5D" w:rsidRPr="00CA34F5">
        <w:rPr>
          <w:rFonts w:ascii="Arial" w:hAnsi="Arial" w:cs="Arial"/>
          <w:color w:val="000000"/>
          <w:lang w:eastAsia="es-MX"/>
        </w:rPr>
        <w:t>omisos, Mandatos y Contratos Aná</w:t>
      </w:r>
      <w:r w:rsidRPr="00CA34F5">
        <w:rPr>
          <w:rFonts w:ascii="Arial" w:hAnsi="Arial" w:cs="Arial"/>
          <w:color w:val="000000"/>
          <w:lang w:eastAsia="es-MX"/>
        </w:rPr>
        <w:t>logos</w:t>
      </w:r>
      <w:r w:rsidR="00F824A4" w:rsidRPr="00CA34F5">
        <w:rPr>
          <w:rFonts w:ascii="Arial" w:hAnsi="Arial" w:cs="Arial"/>
          <w:color w:val="000000"/>
          <w:lang w:eastAsia="es-MX"/>
        </w:rPr>
        <w:t xml:space="preserve">: </w:t>
      </w:r>
      <w:r w:rsidR="00F824A4" w:rsidRPr="00CA34F5">
        <w:rPr>
          <w:rFonts w:ascii="Arial" w:hAnsi="Arial" w:cs="Arial"/>
          <w:b/>
          <w:color w:val="000000"/>
          <w:lang w:eastAsia="es-MX"/>
        </w:rPr>
        <w:t>$619</w:t>
      </w:r>
      <w:proofErr w:type="gramStart"/>
      <w:r w:rsidR="00F824A4" w:rsidRPr="00CA34F5">
        <w:rPr>
          <w:rFonts w:ascii="Arial" w:hAnsi="Arial" w:cs="Arial"/>
          <w:b/>
          <w:color w:val="000000"/>
          <w:lang w:eastAsia="es-MX"/>
        </w:rPr>
        <w:t>,029,113</w:t>
      </w:r>
      <w:proofErr w:type="gramEnd"/>
      <w:r w:rsidR="00B37ABB" w:rsidRPr="00CA34F5">
        <w:rPr>
          <w:rFonts w:ascii="Arial" w:hAnsi="Arial" w:cs="Arial"/>
          <w:color w:val="000000"/>
          <w:lang w:eastAsia="es-MX"/>
        </w:rPr>
        <w:t xml:space="preserve"> </w:t>
      </w:r>
      <w:r w:rsidR="00942C75" w:rsidRPr="00CA34F5">
        <w:rPr>
          <w:rFonts w:ascii="Arial" w:hAnsi="Arial" w:cs="Arial"/>
          <w:color w:val="000000"/>
          <w:lang w:eastAsia="es-MX"/>
        </w:rPr>
        <w:t>cuyo desglose está</w:t>
      </w:r>
      <w:r w:rsidR="00752F13">
        <w:rPr>
          <w:rFonts w:ascii="Arial" w:hAnsi="Arial" w:cs="Arial"/>
          <w:color w:val="000000"/>
          <w:lang w:eastAsia="es-MX"/>
        </w:rPr>
        <w:t xml:space="preserve"> en el</w:t>
      </w:r>
      <w:r w:rsidRPr="00CA34F5">
        <w:rPr>
          <w:rFonts w:ascii="Arial" w:hAnsi="Arial" w:cs="Arial"/>
          <w:color w:val="000000"/>
          <w:lang w:eastAsia="es-MX"/>
        </w:rPr>
        <w:t xml:space="preserve"> numeral </w:t>
      </w:r>
      <w:r w:rsidRPr="00CA34F5">
        <w:rPr>
          <w:rFonts w:ascii="Arial" w:hAnsi="Arial" w:cs="Arial"/>
          <w:b/>
          <w:color w:val="000000"/>
          <w:lang w:eastAsia="es-MX"/>
        </w:rPr>
        <w:t>9</w:t>
      </w:r>
      <w:r w:rsidR="00784FBB">
        <w:rPr>
          <w:rFonts w:ascii="Arial" w:hAnsi="Arial" w:cs="Arial"/>
          <w:color w:val="000000"/>
          <w:lang w:eastAsia="es-MX"/>
        </w:rPr>
        <w:t xml:space="preserve"> de las Notas</w:t>
      </w:r>
      <w:r w:rsidR="00522EE9">
        <w:rPr>
          <w:rFonts w:ascii="Arial" w:hAnsi="Arial" w:cs="Arial"/>
          <w:color w:val="000000"/>
          <w:lang w:eastAsia="es-MX"/>
        </w:rPr>
        <w:t xml:space="preserve"> de Gestión Administrativa.</w:t>
      </w:r>
    </w:p>
    <w:p w14:paraId="0C9883D5" w14:textId="77777777" w:rsidR="00942C75" w:rsidRPr="00CA34F5" w:rsidRDefault="00942C75" w:rsidP="00942C75">
      <w:pPr>
        <w:pStyle w:val="Prrafodelista"/>
        <w:spacing w:after="0" w:line="240" w:lineRule="auto"/>
        <w:jc w:val="both"/>
        <w:rPr>
          <w:rFonts w:ascii="Arial" w:hAnsi="Arial" w:cs="Arial"/>
          <w:color w:val="000000"/>
          <w:lang w:eastAsia="es-MX"/>
        </w:rPr>
      </w:pPr>
    </w:p>
    <w:p w14:paraId="684C9FFC" w14:textId="5224BEF5" w:rsidR="0035431B" w:rsidRPr="00CA34F5" w:rsidRDefault="0079441A" w:rsidP="000A4C31">
      <w:pPr>
        <w:pStyle w:val="Prrafodelista"/>
        <w:numPr>
          <w:ilvl w:val="0"/>
          <w:numId w:val="16"/>
        </w:numPr>
        <w:spacing w:after="0" w:line="240" w:lineRule="auto"/>
        <w:jc w:val="both"/>
        <w:rPr>
          <w:rFonts w:ascii="Arial" w:hAnsi="Arial" w:cs="Arial"/>
          <w:color w:val="000000"/>
          <w:lang w:eastAsia="es-MX"/>
        </w:rPr>
      </w:pPr>
      <w:r w:rsidRPr="00CA34F5">
        <w:rPr>
          <w:rFonts w:ascii="Arial" w:hAnsi="Arial" w:cs="Arial"/>
          <w:color w:val="000000"/>
          <w:lang w:eastAsia="es-MX"/>
        </w:rPr>
        <w:t xml:space="preserve">Participaciones y Aportaciones de Capital: </w:t>
      </w:r>
      <w:r w:rsidR="00942C75" w:rsidRPr="00CA34F5">
        <w:rPr>
          <w:rFonts w:ascii="Arial" w:hAnsi="Arial" w:cs="Arial"/>
          <w:b/>
          <w:color w:val="000000"/>
          <w:lang w:eastAsia="es-MX"/>
        </w:rPr>
        <w:t>$33,611</w:t>
      </w:r>
      <w:r w:rsidR="006B4A3F" w:rsidRPr="00CA34F5">
        <w:rPr>
          <w:rFonts w:ascii="Arial" w:hAnsi="Arial" w:cs="Arial"/>
          <w:b/>
          <w:color w:val="000000"/>
          <w:lang w:eastAsia="es-MX"/>
        </w:rPr>
        <w:t>,656</w:t>
      </w:r>
    </w:p>
    <w:p w14:paraId="2FC818D3" w14:textId="77777777" w:rsidR="00750C99" w:rsidRPr="00CA34F5" w:rsidRDefault="00750C99" w:rsidP="00750C99">
      <w:pPr>
        <w:pStyle w:val="Prrafodelista"/>
        <w:spacing w:after="0" w:line="240" w:lineRule="auto"/>
        <w:jc w:val="both"/>
        <w:rPr>
          <w:rFonts w:ascii="Arial" w:hAnsi="Arial" w:cs="Arial"/>
          <w:color w:val="000000"/>
          <w:lang w:eastAsia="es-MX"/>
        </w:rPr>
      </w:pPr>
    </w:p>
    <w:tbl>
      <w:tblPr>
        <w:tblW w:w="11472" w:type="dxa"/>
        <w:jc w:val="center"/>
        <w:tblLayout w:type="fixed"/>
        <w:tblCellMar>
          <w:left w:w="70" w:type="dxa"/>
          <w:right w:w="70" w:type="dxa"/>
        </w:tblCellMar>
        <w:tblLook w:val="04A0" w:firstRow="1" w:lastRow="0" w:firstColumn="1" w:lastColumn="0" w:noHBand="0" w:noVBand="1"/>
      </w:tblPr>
      <w:tblGrid>
        <w:gridCol w:w="6369"/>
        <w:gridCol w:w="2243"/>
        <w:gridCol w:w="1453"/>
        <w:gridCol w:w="1407"/>
      </w:tblGrid>
      <w:tr w:rsidR="00805541" w:rsidRPr="00CA34F5" w14:paraId="7E7D0991" w14:textId="77777777" w:rsidTr="000A4C31">
        <w:trPr>
          <w:trHeight w:val="552"/>
          <w:jc w:val="center"/>
        </w:trPr>
        <w:tc>
          <w:tcPr>
            <w:tcW w:w="636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hideMark/>
          </w:tcPr>
          <w:p w14:paraId="7977C3EE" w14:textId="77777777" w:rsidR="00805541" w:rsidRPr="00CA34F5" w:rsidRDefault="00805541" w:rsidP="000A4C31">
            <w:pPr>
              <w:spacing w:after="0" w:line="240" w:lineRule="auto"/>
              <w:rPr>
                <w:rFonts w:ascii="Arial" w:hAnsi="Arial" w:cs="Arial"/>
                <w:b/>
                <w:bCs/>
                <w:color w:val="000000" w:themeColor="text1"/>
                <w:lang w:eastAsia="es-MX"/>
              </w:rPr>
            </w:pPr>
            <w:r w:rsidRPr="00CA34F5">
              <w:rPr>
                <w:rFonts w:ascii="Arial" w:hAnsi="Arial" w:cs="Arial"/>
                <w:b/>
                <w:bCs/>
                <w:color w:val="000000" w:themeColor="text1"/>
                <w:lang w:eastAsia="es-MX"/>
              </w:rPr>
              <w:t>Participaciones y Aportaciones de Capital</w:t>
            </w:r>
          </w:p>
        </w:tc>
        <w:tc>
          <w:tcPr>
            <w:tcW w:w="2243" w:type="dxa"/>
            <w:tcBorders>
              <w:top w:val="single" w:sz="8" w:space="0" w:color="000000"/>
              <w:left w:val="nil"/>
              <w:bottom w:val="single" w:sz="8" w:space="0" w:color="000000"/>
              <w:right w:val="single" w:sz="8" w:space="0" w:color="000000"/>
            </w:tcBorders>
            <w:shd w:val="clear" w:color="auto" w:fill="A6A6A6" w:themeFill="background1" w:themeFillShade="A6"/>
            <w:vAlign w:val="center"/>
            <w:hideMark/>
          </w:tcPr>
          <w:p w14:paraId="02A4894F" w14:textId="77777777" w:rsidR="00805541" w:rsidRPr="00CA34F5" w:rsidRDefault="00805541" w:rsidP="000A4C31">
            <w:pPr>
              <w:spacing w:after="0" w:line="240" w:lineRule="auto"/>
              <w:rPr>
                <w:rFonts w:ascii="Arial" w:hAnsi="Arial" w:cs="Arial"/>
                <w:b/>
                <w:bCs/>
                <w:color w:val="000000" w:themeColor="text1"/>
                <w:lang w:eastAsia="es-MX"/>
              </w:rPr>
            </w:pPr>
            <w:r w:rsidRPr="00CA34F5">
              <w:rPr>
                <w:rFonts w:ascii="Arial" w:hAnsi="Arial" w:cs="Arial"/>
                <w:b/>
                <w:bCs/>
                <w:color w:val="000000" w:themeColor="text1"/>
                <w:lang w:eastAsia="es-MX"/>
              </w:rPr>
              <w:t>Porcentaje de Participación del Gobierno del Estado</w:t>
            </w:r>
          </w:p>
        </w:tc>
        <w:tc>
          <w:tcPr>
            <w:tcW w:w="1453" w:type="dxa"/>
            <w:tcBorders>
              <w:top w:val="single" w:sz="8" w:space="0" w:color="000000"/>
              <w:left w:val="nil"/>
              <w:bottom w:val="single" w:sz="8" w:space="0" w:color="000000"/>
              <w:right w:val="single" w:sz="8" w:space="0" w:color="000000"/>
            </w:tcBorders>
            <w:shd w:val="clear" w:color="auto" w:fill="A6A6A6" w:themeFill="background1" w:themeFillShade="A6"/>
            <w:vAlign w:val="center"/>
            <w:hideMark/>
          </w:tcPr>
          <w:p w14:paraId="7D345B4F" w14:textId="77777777" w:rsidR="00805541" w:rsidRPr="00CA34F5" w:rsidRDefault="00805541" w:rsidP="000A4C31">
            <w:pPr>
              <w:spacing w:after="0" w:line="240" w:lineRule="auto"/>
              <w:rPr>
                <w:rFonts w:ascii="Arial" w:hAnsi="Arial" w:cs="Arial"/>
                <w:b/>
                <w:bCs/>
                <w:color w:val="000000" w:themeColor="text1"/>
                <w:lang w:eastAsia="es-MX"/>
              </w:rPr>
            </w:pPr>
            <w:r w:rsidRPr="00CA34F5">
              <w:rPr>
                <w:rFonts w:ascii="Arial" w:hAnsi="Arial" w:cs="Arial"/>
                <w:b/>
                <w:bCs/>
                <w:color w:val="000000" w:themeColor="text1"/>
                <w:lang w:eastAsia="es-MX"/>
              </w:rPr>
              <w:t>Importe</w:t>
            </w:r>
          </w:p>
        </w:tc>
        <w:tc>
          <w:tcPr>
            <w:tcW w:w="1407" w:type="dxa"/>
            <w:tcBorders>
              <w:top w:val="single" w:sz="8" w:space="0" w:color="000000"/>
              <w:left w:val="nil"/>
              <w:bottom w:val="single" w:sz="8" w:space="0" w:color="000000"/>
              <w:right w:val="single" w:sz="8" w:space="0" w:color="000000"/>
            </w:tcBorders>
            <w:shd w:val="clear" w:color="auto" w:fill="A6A6A6" w:themeFill="background1" w:themeFillShade="A6"/>
            <w:vAlign w:val="center"/>
            <w:hideMark/>
          </w:tcPr>
          <w:p w14:paraId="5C9FEE12" w14:textId="77777777" w:rsidR="00805541" w:rsidRPr="00CA34F5" w:rsidRDefault="00805541" w:rsidP="000A4C31">
            <w:pPr>
              <w:spacing w:after="0" w:line="240" w:lineRule="auto"/>
              <w:rPr>
                <w:rFonts w:ascii="Arial" w:hAnsi="Arial" w:cs="Arial"/>
                <w:b/>
                <w:bCs/>
                <w:color w:val="000000" w:themeColor="text1"/>
                <w:lang w:eastAsia="es-MX"/>
              </w:rPr>
            </w:pPr>
            <w:r w:rsidRPr="00CA34F5">
              <w:rPr>
                <w:rFonts w:ascii="Arial" w:hAnsi="Arial" w:cs="Arial"/>
                <w:b/>
                <w:bCs/>
                <w:color w:val="000000" w:themeColor="text1"/>
                <w:lang w:eastAsia="es-MX"/>
              </w:rPr>
              <w:t>Porcentaje</w:t>
            </w:r>
          </w:p>
        </w:tc>
      </w:tr>
      <w:tr w:rsidR="00805541" w:rsidRPr="00CA34F5" w14:paraId="30BBDBF9" w14:textId="77777777" w:rsidTr="000A4C31">
        <w:trPr>
          <w:trHeight w:val="228"/>
          <w:jc w:val="center"/>
        </w:trPr>
        <w:tc>
          <w:tcPr>
            <w:tcW w:w="63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5087F" w14:textId="77777777" w:rsidR="00805541" w:rsidRPr="00CA34F5" w:rsidRDefault="00805541" w:rsidP="000A4C31">
            <w:pPr>
              <w:spacing w:after="0" w:line="240" w:lineRule="auto"/>
              <w:jc w:val="left"/>
              <w:rPr>
                <w:rFonts w:ascii="Arial" w:hAnsi="Arial" w:cs="Arial"/>
                <w:color w:val="000000"/>
                <w:lang w:eastAsia="es-MX"/>
              </w:rPr>
            </w:pPr>
            <w:r w:rsidRPr="00CA34F5">
              <w:rPr>
                <w:rFonts w:ascii="Arial" w:hAnsi="Arial" w:cs="Arial"/>
                <w:color w:val="000000"/>
                <w:lang w:eastAsia="es-MX"/>
              </w:rPr>
              <w:t>Televisión Tabasqueña S.A de C.V.</w:t>
            </w:r>
          </w:p>
        </w:tc>
        <w:tc>
          <w:tcPr>
            <w:tcW w:w="2243" w:type="dxa"/>
            <w:tcBorders>
              <w:top w:val="single" w:sz="4" w:space="0" w:color="000000"/>
              <w:left w:val="nil"/>
              <w:bottom w:val="single" w:sz="4" w:space="0" w:color="000000"/>
              <w:right w:val="single" w:sz="4" w:space="0" w:color="000000"/>
            </w:tcBorders>
            <w:shd w:val="clear" w:color="auto" w:fill="auto"/>
            <w:vAlign w:val="center"/>
          </w:tcPr>
          <w:p w14:paraId="7683BDAF" w14:textId="063BE53A" w:rsidR="00805541" w:rsidRPr="00CA34F5" w:rsidRDefault="009E01A6" w:rsidP="00AF17A2">
            <w:pPr>
              <w:spacing w:after="0" w:line="240" w:lineRule="auto"/>
              <w:rPr>
                <w:rFonts w:ascii="Arial" w:hAnsi="Arial" w:cs="Arial"/>
                <w:color w:val="000000"/>
                <w:lang w:eastAsia="es-MX"/>
              </w:rPr>
            </w:pPr>
            <w:r w:rsidRPr="00CA34F5">
              <w:rPr>
                <w:rFonts w:ascii="Arial" w:hAnsi="Arial" w:cs="Arial"/>
                <w:color w:val="000000"/>
                <w:lang w:eastAsia="es-MX"/>
              </w:rPr>
              <w:t>99.93</w:t>
            </w:r>
          </w:p>
        </w:tc>
        <w:tc>
          <w:tcPr>
            <w:tcW w:w="1453" w:type="dxa"/>
            <w:tcBorders>
              <w:top w:val="single" w:sz="4" w:space="0" w:color="000000"/>
              <w:left w:val="nil"/>
              <w:bottom w:val="single" w:sz="4" w:space="0" w:color="000000"/>
              <w:right w:val="single" w:sz="4" w:space="0" w:color="000000"/>
            </w:tcBorders>
            <w:shd w:val="clear" w:color="auto" w:fill="auto"/>
            <w:vAlign w:val="center"/>
          </w:tcPr>
          <w:p w14:paraId="3710E2B4" w14:textId="77777777" w:rsidR="00805541" w:rsidRPr="00CA34F5" w:rsidRDefault="00805541" w:rsidP="000A4C31">
            <w:pPr>
              <w:spacing w:after="0" w:line="240" w:lineRule="auto"/>
              <w:jc w:val="right"/>
              <w:rPr>
                <w:rFonts w:ascii="Arial" w:hAnsi="Arial" w:cs="Arial"/>
                <w:color w:val="000000"/>
                <w:lang w:eastAsia="es-MX"/>
              </w:rPr>
            </w:pPr>
            <w:r w:rsidRPr="00CA34F5">
              <w:rPr>
                <w:rFonts w:ascii="Arial" w:hAnsi="Arial" w:cs="Arial"/>
                <w:color w:val="000000"/>
                <w:lang w:eastAsia="es-MX"/>
              </w:rPr>
              <w:t>1,399,000</w:t>
            </w:r>
          </w:p>
        </w:tc>
        <w:tc>
          <w:tcPr>
            <w:tcW w:w="1407" w:type="dxa"/>
            <w:tcBorders>
              <w:top w:val="single" w:sz="4" w:space="0" w:color="000000"/>
              <w:left w:val="nil"/>
              <w:bottom w:val="single" w:sz="4" w:space="0" w:color="000000"/>
              <w:right w:val="single" w:sz="4" w:space="0" w:color="000000"/>
            </w:tcBorders>
            <w:shd w:val="clear" w:color="auto" w:fill="auto"/>
            <w:vAlign w:val="center"/>
          </w:tcPr>
          <w:p w14:paraId="1DD5DE3F" w14:textId="44225274" w:rsidR="00805541" w:rsidRPr="00CA34F5" w:rsidRDefault="00516AFA" w:rsidP="000A4C31">
            <w:pPr>
              <w:spacing w:after="0" w:line="240" w:lineRule="auto"/>
              <w:rPr>
                <w:rFonts w:ascii="Arial" w:hAnsi="Arial" w:cs="Arial"/>
                <w:color w:val="000000"/>
                <w:lang w:eastAsia="es-MX"/>
              </w:rPr>
            </w:pPr>
            <w:r w:rsidRPr="00CA34F5">
              <w:rPr>
                <w:rFonts w:ascii="Arial" w:hAnsi="Arial" w:cs="Arial"/>
                <w:color w:val="000000"/>
                <w:lang w:eastAsia="es-MX"/>
              </w:rPr>
              <w:t>4.16</w:t>
            </w:r>
          </w:p>
        </w:tc>
      </w:tr>
      <w:tr w:rsidR="00805541" w:rsidRPr="00CA34F5" w14:paraId="01E8041F" w14:textId="77777777" w:rsidTr="000A4C31">
        <w:trPr>
          <w:trHeight w:val="228"/>
          <w:jc w:val="center"/>
        </w:trPr>
        <w:tc>
          <w:tcPr>
            <w:tcW w:w="6369" w:type="dxa"/>
            <w:tcBorders>
              <w:top w:val="nil"/>
              <w:left w:val="single" w:sz="4" w:space="0" w:color="000000"/>
              <w:bottom w:val="single" w:sz="4" w:space="0" w:color="000000"/>
              <w:right w:val="single" w:sz="4" w:space="0" w:color="000000"/>
            </w:tcBorders>
            <w:shd w:val="clear" w:color="auto" w:fill="auto"/>
            <w:vAlign w:val="center"/>
            <w:hideMark/>
          </w:tcPr>
          <w:p w14:paraId="31F2A511" w14:textId="77777777" w:rsidR="00805541" w:rsidRPr="00CA34F5" w:rsidRDefault="00805541" w:rsidP="000A4C31">
            <w:pPr>
              <w:spacing w:after="0" w:line="240" w:lineRule="auto"/>
              <w:jc w:val="left"/>
              <w:rPr>
                <w:rFonts w:ascii="Arial" w:hAnsi="Arial" w:cs="Arial"/>
                <w:color w:val="000000"/>
                <w:lang w:eastAsia="es-MX"/>
              </w:rPr>
            </w:pPr>
            <w:r w:rsidRPr="00CA34F5">
              <w:rPr>
                <w:rFonts w:ascii="Arial" w:hAnsi="Arial" w:cs="Arial"/>
                <w:color w:val="000000"/>
                <w:lang w:eastAsia="es-MX"/>
              </w:rPr>
              <w:t>Espectáculos Deportivos de Tabasco S.A de C.V.</w:t>
            </w:r>
          </w:p>
        </w:tc>
        <w:tc>
          <w:tcPr>
            <w:tcW w:w="2243" w:type="dxa"/>
            <w:tcBorders>
              <w:top w:val="nil"/>
              <w:left w:val="nil"/>
              <w:bottom w:val="single" w:sz="4" w:space="0" w:color="000000"/>
              <w:right w:val="single" w:sz="4" w:space="0" w:color="000000"/>
            </w:tcBorders>
            <w:shd w:val="clear" w:color="auto" w:fill="auto"/>
            <w:vAlign w:val="center"/>
          </w:tcPr>
          <w:p w14:paraId="44B34D33" w14:textId="58B3F997" w:rsidR="00805541" w:rsidRPr="00CA34F5" w:rsidRDefault="00DA0F70" w:rsidP="000A4C31">
            <w:pPr>
              <w:spacing w:after="0" w:line="240" w:lineRule="auto"/>
              <w:rPr>
                <w:rFonts w:ascii="Arial" w:hAnsi="Arial" w:cs="Arial"/>
                <w:color w:val="000000"/>
                <w:lang w:eastAsia="es-MX"/>
              </w:rPr>
            </w:pPr>
            <w:r w:rsidRPr="00CA34F5">
              <w:rPr>
                <w:rFonts w:ascii="Arial" w:hAnsi="Arial" w:cs="Arial"/>
                <w:color w:val="000000"/>
                <w:lang w:eastAsia="es-MX"/>
              </w:rPr>
              <w:t>99.99</w:t>
            </w:r>
          </w:p>
        </w:tc>
        <w:tc>
          <w:tcPr>
            <w:tcW w:w="1453" w:type="dxa"/>
            <w:tcBorders>
              <w:top w:val="nil"/>
              <w:left w:val="nil"/>
              <w:bottom w:val="single" w:sz="4" w:space="0" w:color="000000"/>
              <w:right w:val="single" w:sz="4" w:space="0" w:color="000000"/>
            </w:tcBorders>
            <w:shd w:val="clear" w:color="auto" w:fill="auto"/>
            <w:vAlign w:val="center"/>
          </w:tcPr>
          <w:p w14:paraId="2DA57711" w14:textId="77777777" w:rsidR="00805541" w:rsidRPr="00CA34F5" w:rsidRDefault="00805541" w:rsidP="000A4C31">
            <w:pPr>
              <w:spacing w:after="0" w:line="240" w:lineRule="auto"/>
              <w:jc w:val="right"/>
              <w:rPr>
                <w:rFonts w:ascii="Arial" w:hAnsi="Arial" w:cs="Arial"/>
                <w:color w:val="000000"/>
                <w:lang w:eastAsia="es-MX"/>
              </w:rPr>
            </w:pPr>
            <w:r w:rsidRPr="00CA34F5">
              <w:rPr>
                <w:rFonts w:ascii="Arial" w:hAnsi="Arial" w:cs="Arial"/>
                <w:color w:val="000000"/>
                <w:lang w:eastAsia="es-MX"/>
              </w:rPr>
              <w:t>20,138,466</w:t>
            </w:r>
          </w:p>
        </w:tc>
        <w:tc>
          <w:tcPr>
            <w:tcW w:w="1407" w:type="dxa"/>
            <w:tcBorders>
              <w:top w:val="nil"/>
              <w:left w:val="nil"/>
              <w:bottom w:val="single" w:sz="4" w:space="0" w:color="000000"/>
              <w:right w:val="single" w:sz="4" w:space="0" w:color="000000"/>
            </w:tcBorders>
            <w:shd w:val="clear" w:color="auto" w:fill="auto"/>
            <w:vAlign w:val="center"/>
          </w:tcPr>
          <w:p w14:paraId="3FD5A357" w14:textId="73C202AE" w:rsidR="00805541" w:rsidRPr="00CA34F5" w:rsidRDefault="00516AFA" w:rsidP="000A4C31">
            <w:pPr>
              <w:spacing w:after="0" w:line="240" w:lineRule="auto"/>
              <w:rPr>
                <w:rFonts w:ascii="Arial" w:hAnsi="Arial" w:cs="Arial"/>
                <w:color w:val="000000"/>
                <w:lang w:eastAsia="es-MX"/>
              </w:rPr>
            </w:pPr>
            <w:r w:rsidRPr="00CA34F5">
              <w:rPr>
                <w:rFonts w:ascii="Arial" w:hAnsi="Arial" w:cs="Arial"/>
                <w:color w:val="000000"/>
                <w:lang w:eastAsia="es-MX"/>
              </w:rPr>
              <w:t>59.92</w:t>
            </w:r>
          </w:p>
        </w:tc>
      </w:tr>
      <w:tr w:rsidR="00805541" w:rsidRPr="00CA34F5" w14:paraId="778B42DB" w14:textId="77777777" w:rsidTr="000A4C31">
        <w:trPr>
          <w:trHeight w:val="228"/>
          <w:jc w:val="center"/>
        </w:trPr>
        <w:tc>
          <w:tcPr>
            <w:tcW w:w="6369" w:type="dxa"/>
            <w:tcBorders>
              <w:top w:val="nil"/>
              <w:left w:val="single" w:sz="4" w:space="0" w:color="000000"/>
              <w:bottom w:val="single" w:sz="4" w:space="0" w:color="000000"/>
              <w:right w:val="single" w:sz="4" w:space="0" w:color="000000"/>
            </w:tcBorders>
            <w:shd w:val="clear" w:color="auto" w:fill="auto"/>
            <w:vAlign w:val="center"/>
            <w:hideMark/>
          </w:tcPr>
          <w:p w14:paraId="3CF2BFA0" w14:textId="77777777" w:rsidR="00805541" w:rsidRPr="00CA34F5" w:rsidRDefault="00805541" w:rsidP="000A4C31">
            <w:pPr>
              <w:spacing w:after="0" w:line="240" w:lineRule="auto"/>
              <w:jc w:val="left"/>
              <w:rPr>
                <w:rFonts w:ascii="Arial" w:hAnsi="Arial" w:cs="Arial"/>
                <w:color w:val="000000"/>
                <w:lang w:eastAsia="es-MX"/>
              </w:rPr>
            </w:pPr>
            <w:r w:rsidRPr="00CA34F5">
              <w:rPr>
                <w:rFonts w:ascii="Arial" w:hAnsi="Arial" w:cs="Arial"/>
                <w:color w:val="000000"/>
                <w:lang w:eastAsia="es-MX"/>
              </w:rPr>
              <w:t>Administración Portuaria Integral de Tabasco S.A de C.V.</w:t>
            </w:r>
          </w:p>
        </w:tc>
        <w:tc>
          <w:tcPr>
            <w:tcW w:w="2243" w:type="dxa"/>
            <w:tcBorders>
              <w:top w:val="nil"/>
              <w:left w:val="nil"/>
              <w:bottom w:val="single" w:sz="4" w:space="0" w:color="000000"/>
              <w:right w:val="single" w:sz="4" w:space="0" w:color="000000"/>
            </w:tcBorders>
            <w:shd w:val="clear" w:color="auto" w:fill="auto"/>
            <w:vAlign w:val="center"/>
          </w:tcPr>
          <w:p w14:paraId="47AE36F7" w14:textId="34C0F44C" w:rsidR="00805541" w:rsidRPr="00CA34F5" w:rsidRDefault="00DA0F70" w:rsidP="000A4C31">
            <w:pPr>
              <w:spacing w:after="0" w:line="240" w:lineRule="auto"/>
              <w:rPr>
                <w:rFonts w:ascii="Arial" w:hAnsi="Arial" w:cs="Arial"/>
                <w:color w:val="000000"/>
                <w:lang w:eastAsia="es-MX"/>
              </w:rPr>
            </w:pPr>
            <w:r w:rsidRPr="00CA34F5">
              <w:rPr>
                <w:rFonts w:ascii="Arial" w:hAnsi="Arial" w:cs="Arial"/>
                <w:color w:val="000000"/>
                <w:lang w:eastAsia="es-MX"/>
              </w:rPr>
              <w:t>99.96</w:t>
            </w:r>
          </w:p>
        </w:tc>
        <w:tc>
          <w:tcPr>
            <w:tcW w:w="1453" w:type="dxa"/>
            <w:tcBorders>
              <w:top w:val="nil"/>
              <w:left w:val="nil"/>
              <w:bottom w:val="single" w:sz="4" w:space="0" w:color="000000"/>
              <w:right w:val="single" w:sz="4" w:space="0" w:color="000000"/>
            </w:tcBorders>
            <w:shd w:val="clear" w:color="auto" w:fill="auto"/>
            <w:vAlign w:val="center"/>
          </w:tcPr>
          <w:p w14:paraId="017F8A69" w14:textId="77777777" w:rsidR="00805541" w:rsidRPr="00CA34F5" w:rsidRDefault="00805541" w:rsidP="000A4C31">
            <w:pPr>
              <w:spacing w:after="0" w:line="240" w:lineRule="auto"/>
              <w:jc w:val="right"/>
              <w:rPr>
                <w:rFonts w:ascii="Arial" w:hAnsi="Arial" w:cs="Arial"/>
                <w:color w:val="000000"/>
                <w:lang w:eastAsia="es-MX"/>
              </w:rPr>
            </w:pPr>
            <w:r w:rsidRPr="00CA34F5">
              <w:rPr>
                <w:rFonts w:ascii="Arial" w:hAnsi="Arial" w:cs="Arial"/>
                <w:color w:val="000000"/>
                <w:lang w:eastAsia="es-MX"/>
              </w:rPr>
              <w:t>7,058,318</w:t>
            </w:r>
          </w:p>
        </w:tc>
        <w:tc>
          <w:tcPr>
            <w:tcW w:w="1407" w:type="dxa"/>
            <w:tcBorders>
              <w:top w:val="nil"/>
              <w:left w:val="nil"/>
              <w:bottom w:val="single" w:sz="4" w:space="0" w:color="000000"/>
              <w:right w:val="single" w:sz="4" w:space="0" w:color="000000"/>
            </w:tcBorders>
            <w:shd w:val="clear" w:color="auto" w:fill="auto"/>
            <w:vAlign w:val="center"/>
          </w:tcPr>
          <w:p w14:paraId="14ED881B" w14:textId="74EDC58B" w:rsidR="00805541" w:rsidRPr="00CA34F5" w:rsidRDefault="00516AFA" w:rsidP="000A4C31">
            <w:pPr>
              <w:spacing w:after="0" w:line="240" w:lineRule="auto"/>
              <w:rPr>
                <w:rFonts w:ascii="Arial" w:hAnsi="Arial" w:cs="Arial"/>
                <w:color w:val="000000"/>
                <w:lang w:eastAsia="es-MX"/>
              </w:rPr>
            </w:pPr>
            <w:r w:rsidRPr="00CA34F5">
              <w:rPr>
                <w:rFonts w:ascii="Arial" w:hAnsi="Arial" w:cs="Arial"/>
                <w:color w:val="000000"/>
                <w:lang w:eastAsia="es-MX"/>
              </w:rPr>
              <w:t>21.00</w:t>
            </w:r>
          </w:p>
        </w:tc>
      </w:tr>
      <w:tr w:rsidR="00805541" w:rsidRPr="00CA34F5" w14:paraId="794551DD" w14:textId="77777777" w:rsidTr="000A4C31">
        <w:trPr>
          <w:trHeight w:val="228"/>
          <w:jc w:val="center"/>
        </w:trPr>
        <w:tc>
          <w:tcPr>
            <w:tcW w:w="6369" w:type="dxa"/>
            <w:tcBorders>
              <w:top w:val="nil"/>
              <w:left w:val="single" w:sz="4" w:space="0" w:color="000000"/>
              <w:bottom w:val="single" w:sz="4" w:space="0" w:color="000000"/>
              <w:right w:val="single" w:sz="4" w:space="0" w:color="000000"/>
            </w:tcBorders>
            <w:shd w:val="clear" w:color="auto" w:fill="auto"/>
            <w:vAlign w:val="center"/>
          </w:tcPr>
          <w:p w14:paraId="23A232EA" w14:textId="6EB52295" w:rsidR="00805541" w:rsidRPr="00CA34F5" w:rsidRDefault="00805541" w:rsidP="000A4C31">
            <w:pPr>
              <w:spacing w:after="0" w:line="240" w:lineRule="auto"/>
              <w:jc w:val="left"/>
              <w:rPr>
                <w:rFonts w:ascii="Arial" w:hAnsi="Arial" w:cs="Arial"/>
                <w:color w:val="000000"/>
                <w:lang w:eastAsia="es-MX"/>
              </w:rPr>
            </w:pPr>
            <w:r w:rsidRPr="00CA34F5">
              <w:rPr>
                <w:rFonts w:ascii="Arial" w:hAnsi="Arial" w:cs="Arial"/>
                <w:color w:val="000000"/>
                <w:lang w:eastAsia="es-MX"/>
              </w:rPr>
              <w:t xml:space="preserve">Movilidad Integral de Tabasco, S.A de </w:t>
            </w:r>
            <w:r w:rsidR="00EC3AAE" w:rsidRPr="00CA34F5">
              <w:rPr>
                <w:rFonts w:ascii="Arial" w:hAnsi="Arial" w:cs="Arial"/>
                <w:color w:val="000000"/>
                <w:lang w:eastAsia="es-MX"/>
              </w:rPr>
              <w:t>C.V.</w:t>
            </w:r>
          </w:p>
        </w:tc>
        <w:tc>
          <w:tcPr>
            <w:tcW w:w="2243" w:type="dxa"/>
            <w:tcBorders>
              <w:top w:val="nil"/>
              <w:left w:val="nil"/>
              <w:bottom w:val="single" w:sz="4" w:space="0" w:color="000000"/>
              <w:right w:val="single" w:sz="4" w:space="0" w:color="000000"/>
            </w:tcBorders>
            <w:shd w:val="clear" w:color="auto" w:fill="auto"/>
            <w:vAlign w:val="center"/>
          </w:tcPr>
          <w:p w14:paraId="20880557" w14:textId="5515310E" w:rsidR="00805541" w:rsidRPr="00CA34F5" w:rsidRDefault="009E01A6" w:rsidP="000A4C31">
            <w:pPr>
              <w:spacing w:after="0" w:line="240" w:lineRule="auto"/>
              <w:rPr>
                <w:rFonts w:ascii="Arial" w:hAnsi="Arial" w:cs="Arial"/>
                <w:color w:val="000000"/>
                <w:lang w:eastAsia="es-MX"/>
              </w:rPr>
            </w:pPr>
            <w:r w:rsidRPr="00CA34F5">
              <w:rPr>
                <w:rFonts w:ascii="Arial" w:hAnsi="Arial" w:cs="Arial"/>
                <w:color w:val="000000"/>
                <w:lang w:eastAsia="es-MX"/>
              </w:rPr>
              <w:t>99.00</w:t>
            </w:r>
          </w:p>
        </w:tc>
        <w:tc>
          <w:tcPr>
            <w:tcW w:w="1453" w:type="dxa"/>
            <w:tcBorders>
              <w:top w:val="nil"/>
              <w:left w:val="nil"/>
              <w:bottom w:val="single" w:sz="4" w:space="0" w:color="000000"/>
              <w:right w:val="single" w:sz="4" w:space="0" w:color="000000"/>
            </w:tcBorders>
            <w:shd w:val="clear" w:color="auto" w:fill="auto"/>
            <w:vAlign w:val="center"/>
          </w:tcPr>
          <w:p w14:paraId="1D419547" w14:textId="6E9291FD" w:rsidR="00805541" w:rsidRPr="00CA34F5" w:rsidRDefault="00743A4D" w:rsidP="000A4C31">
            <w:pPr>
              <w:spacing w:after="0" w:line="240" w:lineRule="auto"/>
              <w:jc w:val="right"/>
              <w:rPr>
                <w:rFonts w:ascii="Arial" w:hAnsi="Arial" w:cs="Arial"/>
                <w:color w:val="000000"/>
                <w:lang w:eastAsia="es-MX"/>
              </w:rPr>
            </w:pPr>
            <w:r w:rsidRPr="00CA34F5">
              <w:rPr>
                <w:rFonts w:ascii="Arial" w:hAnsi="Arial" w:cs="Arial"/>
                <w:color w:val="000000"/>
                <w:lang w:eastAsia="es-MX"/>
              </w:rPr>
              <w:t>5,015,872</w:t>
            </w:r>
          </w:p>
        </w:tc>
        <w:tc>
          <w:tcPr>
            <w:tcW w:w="1407" w:type="dxa"/>
            <w:tcBorders>
              <w:top w:val="nil"/>
              <w:left w:val="nil"/>
              <w:bottom w:val="single" w:sz="4" w:space="0" w:color="000000"/>
              <w:right w:val="single" w:sz="4" w:space="0" w:color="000000"/>
            </w:tcBorders>
            <w:shd w:val="clear" w:color="auto" w:fill="auto"/>
            <w:vAlign w:val="center"/>
          </w:tcPr>
          <w:p w14:paraId="780880E2" w14:textId="60C05AE8" w:rsidR="00805541" w:rsidRPr="00CA34F5" w:rsidRDefault="00516AFA" w:rsidP="000A4C31">
            <w:pPr>
              <w:spacing w:after="0" w:line="240" w:lineRule="auto"/>
              <w:rPr>
                <w:rFonts w:ascii="Arial" w:hAnsi="Arial" w:cs="Arial"/>
                <w:color w:val="000000"/>
                <w:lang w:eastAsia="es-MX"/>
              </w:rPr>
            </w:pPr>
            <w:r w:rsidRPr="00CA34F5">
              <w:rPr>
                <w:rFonts w:ascii="Arial" w:hAnsi="Arial" w:cs="Arial"/>
                <w:color w:val="000000"/>
                <w:lang w:eastAsia="es-MX"/>
              </w:rPr>
              <w:t>14.92</w:t>
            </w:r>
          </w:p>
        </w:tc>
      </w:tr>
      <w:tr w:rsidR="00805541" w:rsidRPr="00CA34F5" w14:paraId="44BE6866" w14:textId="77777777" w:rsidTr="000A4C31">
        <w:trPr>
          <w:trHeight w:val="228"/>
          <w:jc w:val="center"/>
        </w:trPr>
        <w:tc>
          <w:tcPr>
            <w:tcW w:w="6369" w:type="dxa"/>
            <w:tcBorders>
              <w:top w:val="nil"/>
              <w:left w:val="single" w:sz="4" w:space="0" w:color="000000"/>
              <w:bottom w:val="single" w:sz="4" w:space="0" w:color="000000"/>
              <w:right w:val="single" w:sz="4" w:space="0" w:color="000000"/>
            </w:tcBorders>
            <w:shd w:val="clear" w:color="auto" w:fill="auto"/>
            <w:vAlign w:val="center"/>
            <w:hideMark/>
          </w:tcPr>
          <w:p w14:paraId="3490C91A" w14:textId="77777777" w:rsidR="00805541" w:rsidRPr="00CA34F5" w:rsidRDefault="00805541" w:rsidP="000A4C31">
            <w:pPr>
              <w:spacing w:after="0" w:line="240" w:lineRule="auto"/>
              <w:jc w:val="right"/>
              <w:rPr>
                <w:rFonts w:ascii="Arial" w:hAnsi="Arial" w:cs="Arial"/>
                <w:b/>
                <w:bCs/>
                <w:color w:val="000000"/>
                <w:lang w:eastAsia="es-MX"/>
              </w:rPr>
            </w:pPr>
            <w:r w:rsidRPr="00CA34F5">
              <w:rPr>
                <w:rFonts w:ascii="Arial" w:hAnsi="Arial" w:cs="Arial"/>
                <w:b/>
                <w:bCs/>
                <w:color w:val="000000"/>
                <w:lang w:eastAsia="es-MX"/>
              </w:rPr>
              <w:t>Total</w:t>
            </w:r>
          </w:p>
        </w:tc>
        <w:tc>
          <w:tcPr>
            <w:tcW w:w="2243" w:type="dxa"/>
            <w:tcBorders>
              <w:top w:val="nil"/>
              <w:left w:val="nil"/>
              <w:bottom w:val="single" w:sz="4" w:space="0" w:color="000000"/>
              <w:right w:val="single" w:sz="4" w:space="0" w:color="000000"/>
            </w:tcBorders>
            <w:shd w:val="clear" w:color="auto" w:fill="auto"/>
            <w:vAlign w:val="center"/>
          </w:tcPr>
          <w:p w14:paraId="317FBE24" w14:textId="6968C460" w:rsidR="00805541" w:rsidRPr="00CA34F5" w:rsidRDefault="00805541" w:rsidP="000A4C31">
            <w:pPr>
              <w:spacing w:after="0" w:line="240" w:lineRule="auto"/>
              <w:rPr>
                <w:rFonts w:ascii="Arial" w:hAnsi="Arial" w:cs="Arial"/>
                <w:b/>
                <w:color w:val="000000"/>
                <w:lang w:eastAsia="es-MX"/>
              </w:rPr>
            </w:pPr>
          </w:p>
        </w:tc>
        <w:tc>
          <w:tcPr>
            <w:tcW w:w="1453" w:type="dxa"/>
            <w:tcBorders>
              <w:top w:val="nil"/>
              <w:left w:val="nil"/>
              <w:bottom w:val="single" w:sz="4" w:space="0" w:color="000000"/>
              <w:right w:val="single" w:sz="4" w:space="0" w:color="000000"/>
            </w:tcBorders>
            <w:shd w:val="clear" w:color="auto" w:fill="auto"/>
            <w:vAlign w:val="center"/>
          </w:tcPr>
          <w:p w14:paraId="0CAE40CD" w14:textId="06482DE5" w:rsidR="00805541" w:rsidRPr="00CA34F5" w:rsidRDefault="00743A4D" w:rsidP="000A4C31">
            <w:pPr>
              <w:spacing w:after="0" w:line="240" w:lineRule="auto"/>
              <w:jc w:val="right"/>
              <w:rPr>
                <w:rFonts w:ascii="Arial" w:hAnsi="Arial" w:cs="Arial"/>
                <w:b/>
                <w:bCs/>
                <w:color w:val="000000"/>
                <w:lang w:eastAsia="es-MX"/>
              </w:rPr>
            </w:pPr>
            <w:r w:rsidRPr="00CA34F5">
              <w:rPr>
                <w:rFonts w:ascii="Arial" w:hAnsi="Arial" w:cs="Arial"/>
                <w:b/>
                <w:bCs/>
                <w:color w:val="000000"/>
                <w:lang w:eastAsia="es-MX"/>
              </w:rPr>
              <w:t>33,</w:t>
            </w:r>
            <w:r w:rsidR="00FE10D6" w:rsidRPr="00CA34F5">
              <w:rPr>
                <w:rFonts w:ascii="Arial" w:hAnsi="Arial" w:cs="Arial"/>
                <w:b/>
                <w:bCs/>
                <w:color w:val="000000"/>
                <w:lang w:eastAsia="es-MX"/>
              </w:rPr>
              <w:t>611,656</w:t>
            </w:r>
          </w:p>
        </w:tc>
        <w:tc>
          <w:tcPr>
            <w:tcW w:w="1407" w:type="dxa"/>
            <w:tcBorders>
              <w:top w:val="nil"/>
              <w:left w:val="nil"/>
              <w:bottom w:val="single" w:sz="4" w:space="0" w:color="000000"/>
              <w:right w:val="single" w:sz="4" w:space="0" w:color="000000"/>
            </w:tcBorders>
            <w:shd w:val="clear" w:color="auto" w:fill="auto"/>
            <w:vAlign w:val="center"/>
          </w:tcPr>
          <w:p w14:paraId="13F8A429" w14:textId="77777777" w:rsidR="00805541" w:rsidRPr="00CA34F5" w:rsidRDefault="00805541" w:rsidP="000A4C31">
            <w:pPr>
              <w:spacing w:after="0" w:line="240" w:lineRule="auto"/>
              <w:rPr>
                <w:rFonts w:ascii="Arial" w:hAnsi="Arial" w:cs="Arial"/>
                <w:b/>
                <w:bCs/>
                <w:color w:val="000000"/>
                <w:lang w:eastAsia="es-MX"/>
              </w:rPr>
            </w:pPr>
            <w:r w:rsidRPr="00CA34F5">
              <w:rPr>
                <w:rFonts w:ascii="Arial" w:hAnsi="Arial" w:cs="Arial"/>
                <w:b/>
                <w:bCs/>
                <w:color w:val="000000"/>
                <w:lang w:eastAsia="es-MX"/>
              </w:rPr>
              <w:t>100</w:t>
            </w:r>
          </w:p>
        </w:tc>
      </w:tr>
    </w:tbl>
    <w:p w14:paraId="6346AD63" w14:textId="77777777" w:rsidR="00880B27" w:rsidRDefault="00880B27" w:rsidP="001041DB">
      <w:pPr>
        <w:spacing w:after="0" w:line="240" w:lineRule="auto"/>
        <w:jc w:val="both"/>
        <w:rPr>
          <w:rFonts w:ascii="Arial" w:hAnsi="Arial" w:cs="Arial"/>
          <w:b/>
          <w:u w:val="single"/>
        </w:rPr>
      </w:pPr>
    </w:p>
    <w:p w14:paraId="545F5C8B" w14:textId="77777777" w:rsidR="003E3C32" w:rsidRDefault="003E3C32" w:rsidP="001041DB">
      <w:pPr>
        <w:spacing w:after="0" w:line="240" w:lineRule="auto"/>
        <w:jc w:val="both"/>
        <w:rPr>
          <w:rFonts w:ascii="Arial" w:hAnsi="Arial" w:cs="Arial"/>
          <w:b/>
          <w:u w:val="single"/>
        </w:rPr>
      </w:pPr>
    </w:p>
    <w:p w14:paraId="22F4F808" w14:textId="77777777" w:rsidR="001B3D8F" w:rsidRDefault="001B3D8F" w:rsidP="001041DB">
      <w:pPr>
        <w:spacing w:after="0" w:line="240" w:lineRule="auto"/>
        <w:jc w:val="both"/>
        <w:rPr>
          <w:rFonts w:ascii="Arial" w:hAnsi="Arial" w:cs="Arial"/>
          <w:b/>
          <w:u w:val="single"/>
        </w:rPr>
      </w:pPr>
    </w:p>
    <w:p w14:paraId="5E5FE3FE" w14:textId="4CCFB7FB" w:rsidR="001041DB" w:rsidRPr="00CA34F5" w:rsidRDefault="0028760A" w:rsidP="001041DB">
      <w:pPr>
        <w:spacing w:after="0" w:line="240" w:lineRule="auto"/>
        <w:jc w:val="both"/>
        <w:rPr>
          <w:rFonts w:ascii="Arial" w:hAnsi="Arial" w:cs="Arial"/>
          <w:b/>
        </w:rPr>
      </w:pPr>
      <w:r w:rsidRPr="00CA34F5">
        <w:rPr>
          <w:rFonts w:ascii="Arial" w:hAnsi="Arial" w:cs="Arial"/>
          <w:b/>
          <w:u w:val="single"/>
        </w:rPr>
        <w:t xml:space="preserve">Otros </w:t>
      </w:r>
      <w:r w:rsidR="00566B2A" w:rsidRPr="00CA34F5">
        <w:rPr>
          <w:rFonts w:ascii="Arial" w:hAnsi="Arial" w:cs="Arial"/>
          <w:b/>
          <w:u w:val="single"/>
        </w:rPr>
        <w:t>Derechos a Recibir Efectivo o Equivalentes a Largo Plazo</w:t>
      </w:r>
      <w:r w:rsidR="00E862F6" w:rsidRPr="00CA34F5">
        <w:rPr>
          <w:rFonts w:ascii="Arial" w:hAnsi="Arial" w:cs="Arial"/>
          <w:b/>
          <w:u w:val="single"/>
        </w:rPr>
        <w:t xml:space="preserve"> </w:t>
      </w:r>
    </w:p>
    <w:p w14:paraId="1F37D3AF" w14:textId="77777777" w:rsidR="00F227D4" w:rsidRPr="00CA34F5" w:rsidRDefault="00F227D4" w:rsidP="001041DB">
      <w:pPr>
        <w:spacing w:after="0" w:line="240" w:lineRule="auto"/>
        <w:jc w:val="both"/>
        <w:rPr>
          <w:rFonts w:ascii="Arial" w:hAnsi="Arial" w:cs="Arial"/>
        </w:rPr>
      </w:pPr>
    </w:p>
    <w:p w14:paraId="254F0760" w14:textId="41B5E0B1" w:rsidR="00A63526" w:rsidRPr="00CA34F5" w:rsidRDefault="00E53E75" w:rsidP="002E2014">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El saldo de</w:t>
      </w:r>
      <w:r w:rsidR="00EB661A" w:rsidRPr="00CA34F5">
        <w:rPr>
          <w:rFonts w:ascii="Arial" w:eastAsia="Times New Roman" w:hAnsi="Arial" w:cs="Arial"/>
          <w:color w:val="000000"/>
          <w:lang w:eastAsia="es-MX"/>
        </w:rPr>
        <w:t xml:space="preserve"> este rubro </w:t>
      </w:r>
      <w:r w:rsidR="00E862F6" w:rsidRPr="00CA34F5">
        <w:rPr>
          <w:rFonts w:ascii="Arial" w:eastAsia="Times New Roman" w:hAnsi="Arial" w:cs="Arial"/>
          <w:color w:val="000000"/>
          <w:lang w:eastAsia="es-MX"/>
        </w:rPr>
        <w:t xml:space="preserve">por </w:t>
      </w:r>
      <w:r w:rsidR="00E862F6" w:rsidRPr="00CA34F5">
        <w:rPr>
          <w:rFonts w:ascii="Arial" w:eastAsia="Times New Roman" w:hAnsi="Arial" w:cs="Arial"/>
          <w:b/>
          <w:color w:val="000000"/>
          <w:lang w:eastAsia="es-MX"/>
        </w:rPr>
        <w:t>$2</w:t>
      </w:r>
      <w:proofErr w:type="gramStart"/>
      <w:r w:rsidR="00E862F6" w:rsidRPr="00CA34F5">
        <w:rPr>
          <w:rFonts w:ascii="Arial" w:eastAsia="Times New Roman" w:hAnsi="Arial" w:cs="Arial"/>
          <w:b/>
          <w:color w:val="000000"/>
          <w:lang w:eastAsia="es-MX"/>
        </w:rPr>
        <w:t>,099,645</w:t>
      </w:r>
      <w:proofErr w:type="gramEnd"/>
      <w:r w:rsidR="00EB661A" w:rsidRPr="00CA34F5">
        <w:rPr>
          <w:rFonts w:ascii="Arial" w:eastAsia="Times New Roman" w:hAnsi="Arial" w:cs="Arial"/>
          <w:color w:val="000000"/>
          <w:lang w:eastAsia="es-MX"/>
        </w:rPr>
        <w:t xml:space="preserve"> </w:t>
      </w:r>
      <w:r w:rsidR="00E862F6" w:rsidRPr="00CA34F5">
        <w:rPr>
          <w:rFonts w:ascii="Arial" w:eastAsia="Times New Roman" w:hAnsi="Arial" w:cs="Arial"/>
          <w:color w:val="000000"/>
          <w:lang w:eastAsia="es-MX"/>
        </w:rPr>
        <w:t>es</w:t>
      </w:r>
      <w:r w:rsidR="00EB661A" w:rsidRPr="00CA34F5">
        <w:rPr>
          <w:rFonts w:ascii="Arial" w:eastAsia="Times New Roman" w:hAnsi="Arial" w:cs="Arial"/>
          <w:color w:val="000000"/>
          <w:lang w:eastAsia="es-MX"/>
        </w:rPr>
        <w:t xml:space="preserve"> por</w:t>
      </w:r>
      <w:r w:rsidR="00942C75" w:rsidRPr="00CA34F5">
        <w:rPr>
          <w:rFonts w:ascii="Arial" w:eastAsia="Times New Roman" w:hAnsi="Arial" w:cs="Arial"/>
          <w:color w:val="000000"/>
          <w:lang w:eastAsia="es-MX"/>
        </w:rPr>
        <w:t xml:space="preserve"> </w:t>
      </w:r>
      <w:r w:rsidR="00EB661A" w:rsidRPr="00CA34F5">
        <w:rPr>
          <w:rFonts w:ascii="Arial" w:eastAsia="Times New Roman" w:hAnsi="Arial" w:cs="Arial"/>
          <w:color w:val="000000"/>
          <w:lang w:eastAsia="es-MX"/>
        </w:rPr>
        <w:t>compra</w:t>
      </w:r>
      <w:r w:rsidRPr="00CA34F5">
        <w:rPr>
          <w:rFonts w:ascii="Arial" w:eastAsia="Times New Roman" w:hAnsi="Arial" w:cs="Arial"/>
          <w:color w:val="000000"/>
          <w:lang w:eastAsia="es-MX"/>
        </w:rPr>
        <w:t xml:space="preserve"> con número de grupo 20-6</w:t>
      </w:r>
      <w:r w:rsidR="00EB661A" w:rsidRPr="00CA34F5">
        <w:rPr>
          <w:rFonts w:ascii="Arial" w:eastAsia="Times New Roman" w:hAnsi="Arial" w:cs="Arial"/>
          <w:color w:val="000000"/>
          <w:lang w:eastAsia="es-MX"/>
        </w:rPr>
        <w:t xml:space="preserve">422 (sidcam-cc-gob-181/2020)  </w:t>
      </w:r>
      <w:r w:rsidRPr="00CA34F5">
        <w:rPr>
          <w:rFonts w:ascii="Arial" w:eastAsia="Times New Roman" w:hAnsi="Arial" w:cs="Arial"/>
          <w:color w:val="000000"/>
          <w:lang w:eastAsia="es-MX"/>
        </w:rPr>
        <w:t xml:space="preserve">de armamento a la Secretaría de la Defensa Nacional, </w:t>
      </w:r>
      <w:r w:rsidR="00356BC8" w:rsidRPr="00CA34F5">
        <w:rPr>
          <w:rFonts w:ascii="Arial" w:eastAsia="Times New Roman" w:hAnsi="Arial" w:cs="Arial"/>
          <w:color w:val="000000"/>
          <w:lang w:eastAsia="es-MX"/>
        </w:rPr>
        <w:t>sin</w:t>
      </w:r>
      <w:r w:rsidRPr="00CA34F5">
        <w:rPr>
          <w:rFonts w:ascii="Arial" w:eastAsia="Times New Roman" w:hAnsi="Arial" w:cs="Arial"/>
          <w:color w:val="000000"/>
          <w:lang w:eastAsia="es-MX"/>
        </w:rPr>
        <w:t xml:space="preserve"> fecha de entrega determinada, </w:t>
      </w:r>
      <w:r w:rsidR="00356BC8" w:rsidRPr="00CA34F5">
        <w:rPr>
          <w:rFonts w:ascii="Arial" w:eastAsia="Times New Roman" w:hAnsi="Arial" w:cs="Arial"/>
          <w:color w:val="000000"/>
          <w:lang w:eastAsia="es-MX"/>
        </w:rPr>
        <w:t>pues</w:t>
      </w:r>
      <w:r w:rsidRPr="00CA34F5">
        <w:rPr>
          <w:rFonts w:ascii="Arial" w:eastAsia="Times New Roman" w:hAnsi="Arial" w:cs="Arial"/>
          <w:color w:val="000000"/>
          <w:lang w:eastAsia="es-MX"/>
        </w:rPr>
        <w:t xml:space="preserve"> se </w:t>
      </w:r>
      <w:r w:rsidR="00356BC8" w:rsidRPr="00CA34F5">
        <w:rPr>
          <w:rFonts w:ascii="Arial" w:eastAsia="Times New Roman" w:hAnsi="Arial" w:cs="Arial"/>
          <w:color w:val="000000"/>
          <w:lang w:eastAsia="es-MX"/>
        </w:rPr>
        <w:t>debe</w:t>
      </w:r>
      <w:r w:rsidRPr="00CA34F5">
        <w:rPr>
          <w:rFonts w:ascii="Arial" w:eastAsia="Times New Roman" w:hAnsi="Arial" w:cs="Arial"/>
          <w:color w:val="000000"/>
          <w:lang w:eastAsia="es-MX"/>
        </w:rPr>
        <w:t xml:space="preserve"> ajustar a los tiempos de entrega de la SEDENA.</w:t>
      </w:r>
    </w:p>
    <w:p w14:paraId="4E6A2057" w14:textId="77777777" w:rsidR="00C726D9" w:rsidRDefault="00C726D9" w:rsidP="000A4C31">
      <w:pPr>
        <w:spacing w:after="0" w:line="240" w:lineRule="auto"/>
        <w:jc w:val="both"/>
        <w:rPr>
          <w:rFonts w:ascii="Arial" w:hAnsi="Arial" w:cs="Arial"/>
          <w:b/>
          <w:u w:val="single"/>
        </w:rPr>
      </w:pPr>
    </w:p>
    <w:p w14:paraId="49C11FA9" w14:textId="5C9139E2" w:rsidR="00931753" w:rsidRPr="00CA34F5" w:rsidRDefault="00DA3ECA" w:rsidP="000A4C31">
      <w:pPr>
        <w:spacing w:after="0" w:line="240" w:lineRule="auto"/>
        <w:jc w:val="both"/>
        <w:rPr>
          <w:rFonts w:ascii="Arial" w:hAnsi="Arial" w:cs="Arial"/>
          <w:b/>
          <w:u w:val="single"/>
        </w:rPr>
      </w:pPr>
      <w:r w:rsidRPr="00CA34F5">
        <w:rPr>
          <w:rFonts w:ascii="Arial" w:hAnsi="Arial" w:cs="Arial"/>
          <w:b/>
          <w:u w:val="single"/>
        </w:rPr>
        <w:t>Bienes Inmuebles, Infraestructura y Construcciones en Proceso</w:t>
      </w:r>
    </w:p>
    <w:p w14:paraId="19AB59BF" w14:textId="77777777" w:rsidR="006D76A3" w:rsidRPr="00CA34F5" w:rsidRDefault="006D76A3" w:rsidP="000A4C31">
      <w:pPr>
        <w:spacing w:after="0" w:line="240" w:lineRule="auto"/>
        <w:jc w:val="both"/>
        <w:rPr>
          <w:rFonts w:ascii="Arial" w:hAnsi="Arial" w:cs="Arial"/>
          <w:b/>
          <w:u w:val="single"/>
        </w:rPr>
      </w:pPr>
    </w:p>
    <w:p w14:paraId="3AFBF6F8" w14:textId="77777777" w:rsidR="00A6751E" w:rsidRPr="00CA34F5" w:rsidRDefault="00A6751E" w:rsidP="006D76A3">
      <w:pPr>
        <w:spacing w:after="0" w:line="240" w:lineRule="auto"/>
        <w:jc w:val="both"/>
        <w:rPr>
          <w:rFonts w:ascii="Arial" w:eastAsia="Times New Roman" w:hAnsi="Arial" w:cs="Arial"/>
          <w:color w:val="000000"/>
          <w:lang w:eastAsia="es-MX"/>
        </w:rPr>
      </w:pPr>
    </w:p>
    <w:p w14:paraId="2BDC8A77" w14:textId="77777777" w:rsidR="006D76A3" w:rsidRDefault="006D76A3" w:rsidP="006D76A3">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El saldo de este rubro se integra como sigue:</w:t>
      </w:r>
    </w:p>
    <w:p w14:paraId="586785EA" w14:textId="77777777" w:rsidR="00C726D9" w:rsidRPr="00CA34F5" w:rsidRDefault="00C726D9" w:rsidP="006D76A3">
      <w:pPr>
        <w:spacing w:after="0" w:line="240" w:lineRule="auto"/>
        <w:jc w:val="both"/>
        <w:rPr>
          <w:rFonts w:ascii="Arial" w:eastAsia="Times New Roman" w:hAnsi="Arial" w:cs="Arial"/>
          <w:color w:val="000000"/>
          <w:lang w:eastAsia="es-MX"/>
        </w:rPr>
      </w:pPr>
    </w:p>
    <w:p w14:paraId="6F3E4D40" w14:textId="77777777" w:rsidR="00A6751E" w:rsidRPr="00CA34F5" w:rsidRDefault="00A6751E" w:rsidP="006D76A3">
      <w:pPr>
        <w:spacing w:after="0" w:line="240" w:lineRule="auto"/>
        <w:jc w:val="both"/>
        <w:rPr>
          <w:rFonts w:ascii="Arial" w:eastAsia="Times New Roman" w:hAnsi="Arial" w:cs="Arial"/>
          <w:color w:val="000000"/>
          <w:lang w:eastAsia="es-MX"/>
        </w:rPr>
      </w:pPr>
    </w:p>
    <w:tbl>
      <w:tblPr>
        <w:tblW w:w="9820" w:type="dxa"/>
        <w:jc w:val="center"/>
        <w:tblCellMar>
          <w:left w:w="70" w:type="dxa"/>
          <w:right w:w="70" w:type="dxa"/>
        </w:tblCellMar>
        <w:tblLook w:val="04A0" w:firstRow="1" w:lastRow="0" w:firstColumn="1" w:lastColumn="0" w:noHBand="0" w:noVBand="1"/>
      </w:tblPr>
      <w:tblGrid>
        <w:gridCol w:w="3940"/>
        <w:gridCol w:w="1600"/>
        <w:gridCol w:w="1480"/>
        <w:gridCol w:w="1652"/>
        <w:gridCol w:w="1200"/>
      </w:tblGrid>
      <w:tr w:rsidR="00C726D9" w:rsidRPr="00C726D9" w14:paraId="51A10099" w14:textId="77777777" w:rsidTr="00C726D9">
        <w:trPr>
          <w:trHeight w:val="1290"/>
          <w:jc w:val="center"/>
        </w:trPr>
        <w:tc>
          <w:tcPr>
            <w:tcW w:w="394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08B961B6" w14:textId="77777777" w:rsidR="00C726D9" w:rsidRPr="00C726D9" w:rsidRDefault="00C726D9" w:rsidP="00C726D9">
            <w:pPr>
              <w:spacing w:after="0" w:line="240" w:lineRule="auto"/>
              <w:rPr>
                <w:rFonts w:ascii="Arial" w:eastAsia="Times New Roman" w:hAnsi="Arial" w:cs="Arial"/>
                <w:b/>
                <w:bCs/>
                <w:color w:val="000000"/>
                <w:sz w:val="20"/>
                <w:szCs w:val="20"/>
                <w:lang w:eastAsia="es-MX"/>
              </w:rPr>
            </w:pPr>
            <w:r w:rsidRPr="00C726D9">
              <w:rPr>
                <w:rFonts w:ascii="Arial" w:eastAsia="Times New Roman" w:hAnsi="Arial" w:cs="Arial"/>
                <w:b/>
                <w:bCs/>
                <w:color w:val="000000"/>
                <w:sz w:val="20"/>
                <w:szCs w:val="20"/>
                <w:lang w:eastAsia="es-MX"/>
              </w:rPr>
              <w:t>Concepto</w:t>
            </w:r>
          </w:p>
        </w:tc>
        <w:tc>
          <w:tcPr>
            <w:tcW w:w="1600" w:type="dxa"/>
            <w:tcBorders>
              <w:top w:val="single" w:sz="8" w:space="0" w:color="auto"/>
              <w:left w:val="nil"/>
              <w:bottom w:val="single" w:sz="8" w:space="0" w:color="auto"/>
              <w:right w:val="single" w:sz="8" w:space="0" w:color="auto"/>
            </w:tcBorders>
            <w:shd w:val="clear" w:color="000000" w:fill="D0CECE"/>
            <w:vAlign w:val="center"/>
            <w:hideMark/>
          </w:tcPr>
          <w:p w14:paraId="4AE62E0D" w14:textId="77777777" w:rsidR="00C726D9" w:rsidRPr="00C726D9" w:rsidRDefault="00C726D9" w:rsidP="00C726D9">
            <w:pPr>
              <w:spacing w:after="0" w:line="240" w:lineRule="auto"/>
              <w:rPr>
                <w:rFonts w:ascii="Arial" w:eastAsia="Times New Roman" w:hAnsi="Arial" w:cs="Arial"/>
                <w:b/>
                <w:bCs/>
                <w:color w:val="000000"/>
                <w:sz w:val="20"/>
                <w:szCs w:val="20"/>
                <w:lang w:eastAsia="es-MX"/>
              </w:rPr>
            </w:pPr>
            <w:r w:rsidRPr="00C726D9">
              <w:rPr>
                <w:rFonts w:ascii="Arial" w:eastAsia="Times New Roman" w:hAnsi="Arial" w:cs="Arial"/>
                <w:b/>
                <w:bCs/>
                <w:color w:val="000000"/>
                <w:sz w:val="20"/>
                <w:szCs w:val="20"/>
                <w:lang w:eastAsia="es-MX"/>
              </w:rPr>
              <w:t xml:space="preserve"> Bienes Inmuebles e Infraestructura </w:t>
            </w:r>
          </w:p>
        </w:tc>
        <w:tc>
          <w:tcPr>
            <w:tcW w:w="1480" w:type="dxa"/>
            <w:tcBorders>
              <w:top w:val="single" w:sz="8" w:space="0" w:color="auto"/>
              <w:left w:val="nil"/>
              <w:bottom w:val="single" w:sz="8" w:space="0" w:color="auto"/>
              <w:right w:val="single" w:sz="8" w:space="0" w:color="auto"/>
            </w:tcBorders>
            <w:shd w:val="clear" w:color="000000" w:fill="D0CECE"/>
            <w:vAlign w:val="center"/>
            <w:hideMark/>
          </w:tcPr>
          <w:p w14:paraId="7B8185A1" w14:textId="77777777" w:rsidR="00C726D9" w:rsidRPr="00C726D9" w:rsidRDefault="00C726D9" w:rsidP="00C726D9">
            <w:pPr>
              <w:spacing w:after="0" w:line="240" w:lineRule="auto"/>
              <w:rPr>
                <w:rFonts w:ascii="Arial" w:eastAsia="Times New Roman" w:hAnsi="Arial" w:cs="Arial"/>
                <w:b/>
                <w:bCs/>
                <w:color w:val="000000"/>
                <w:sz w:val="20"/>
                <w:szCs w:val="20"/>
                <w:lang w:eastAsia="es-MX"/>
              </w:rPr>
            </w:pPr>
            <w:r w:rsidRPr="00C726D9">
              <w:rPr>
                <w:rFonts w:ascii="Arial" w:eastAsia="Times New Roman" w:hAnsi="Arial" w:cs="Arial"/>
                <w:b/>
                <w:bCs/>
                <w:color w:val="000000"/>
                <w:sz w:val="20"/>
                <w:szCs w:val="20"/>
                <w:lang w:eastAsia="es-MX"/>
              </w:rPr>
              <w:t xml:space="preserve"> Obras en Proceso </w:t>
            </w:r>
          </w:p>
        </w:tc>
        <w:tc>
          <w:tcPr>
            <w:tcW w:w="1600" w:type="dxa"/>
            <w:tcBorders>
              <w:top w:val="single" w:sz="8" w:space="0" w:color="auto"/>
              <w:left w:val="nil"/>
              <w:bottom w:val="nil"/>
              <w:right w:val="single" w:sz="8" w:space="0" w:color="auto"/>
            </w:tcBorders>
            <w:shd w:val="clear" w:color="000000" w:fill="D0CECE"/>
            <w:vAlign w:val="center"/>
            <w:hideMark/>
          </w:tcPr>
          <w:p w14:paraId="32F07AAF" w14:textId="77777777" w:rsidR="00C726D9" w:rsidRPr="00C726D9" w:rsidRDefault="00C726D9" w:rsidP="00C726D9">
            <w:pPr>
              <w:spacing w:after="0" w:line="240" w:lineRule="auto"/>
              <w:rPr>
                <w:rFonts w:ascii="Arial" w:eastAsia="Times New Roman" w:hAnsi="Arial" w:cs="Arial"/>
                <w:b/>
                <w:bCs/>
                <w:color w:val="000000"/>
                <w:sz w:val="20"/>
                <w:szCs w:val="20"/>
                <w:lang w:eastAsia="es-MX"/>
              </w:rPr>
            </w:pPr>
            <w:r w:rsidRPr="00C726D9">
              <w:rPr>
                <w:rFonts w:ascii="Arial" w:eastAsia="Times New Roman" w:hAnsi="Arial" w:cs="Arial"/>
                <w:b/>
                <w:bCs/>
                <w:color w:val="000000"/>
                <w:sz w:val="20"/>
                <w:szCs w:val="20"/>
                <w:lang w:eastAsia="es-MX"/>
              </w:rPr>
              <w:t xml:space="preserve"> Inmuebles, Infraestructura y Construcciones en Proceso </w:t>
            </w:r>
          </w:p>
        </w:tc>
        <w:tc>
          <w:tcPr>
            <w:tcW w:w="1200" w:type="dxa"/>
            <w:tcBorders>
              <w:top w:val="single" w:sz="8" w:space="0" w:color="auto"/>
              <w:left w:val="single" w:sz="4" w:space="0" w:color="auto"/>
              <w:bottom w:val="single" w:sz="8" w:space="0" w:color="auto"/>
              <w:right w:val="single" w:sz="8" w:space="0" w:color="auto"/>
            </w:tcBorders>
            <w:shd w:val="clear" w:color="000000" w:fill="D0CECE"/>
            <w:noWrap/>
            <w:vAlign w:val="center"/>
            <w:hideMark/>
          </w:tcPr>
          <w:p w14:paraId="4E9F5587" w14:textId="77777777" w:rsidR="00C726D9" w:rsidRPr="00C726D9" w:rsidRDefault="00C726D9" w:rsidP="00C726D9">
            <w:pPr>
              <w:spacing w:after="0" w:line="240" w:lineRule="auto"/>
              <w:rPr>
                <w:rFonts w:ascii="Arial" w:eastAsia="Times New Roman" w:hAnsi="Arial" w:cs="Arial"/>
                <w:b/>
                <w:bCs/>
                <w:color w:val="000000"/>
                <w:sz w:val="20"/>
                <w:szCs w:val="20"/>
                <w:lang w:eastAsia="es-MX"/>
              </w:rPr>
            </w:pPr>
            <w:r w:rsidRPr="00C726D9">
              <w:rPr>
                <w:rFonts w:ascii="Arial" w:eastAsia="Times New Roman" w:hAnsi="Arial" w:cs="Arial"/>
                <w:b/>
                <w:bCs/>
                <w:color w:val="000000"/>
                <w:sz w:val="20"/>
                <w:szCs w:val="20"/>
                <w:lang w:eastAsia="es-MX"/>
              </w:rPr>
              <w:t>%</w:t>
            </w:r>
          </w:p>
        </w:tc>
      </w:tr>
      <w:tr w:rsidR="00C726D9" w:rsidRPr="00C726D9" w14:paraId="03540168" w14:textId="77777777" w:rsidTr="00C726D9">
        <w:trPr>
          <w:trHeight w:val="360"/>
          <w:jc w:val="center"/>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28A0BE48" w14:textId="77777777" w:rsidR="00C726D9" w:rsidRPr="00C726D9" w:rsidRDefault="00C726D9" w:rsidP="00C726D9">
            <w:pPr>
              <w:spacing w:after="0" w:line="240" w:lineRule="auto"/>
              <w:jc w:val="lef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 xml:space="preserve">Terrenos </w:t>
            </w:r>
          </w:p>
        </w:tc>
        <w:tc>
          <w:tcPr>
            <w:tcW w:w="1600" w:type="dxa"/>
            <w:tcBorders>
              <w:top w:val="nil"/>
              <w:left w:val="nil"/>
              <w:bottom w:val="single" w:sz="8" w:space="0" w:color="auto"/>
              <w:right w:val="single" w:sz="8" w:space="0" w:color="auto"/>
            </w:tcBorders>
            <w:shd w:val="clear" w:color="auto" w:fill="auto"/>
            <w:noWrap/>
            <w:vAlign w:val="center"/>
            <w:hideMark/>
          </w:tcPr>
          <w:p w14:paraId="39B09BAF"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15,766,726,826</w:t>
            </w:r>
          </w:p>
        </w:tc>
        <w:tc>
          <w:tcPr>
            <w:tcW w:w="1480" w:type="dxa"/>
            <w:tcBorders>
              <w:top w:val="nil"/>
              <w:left w:val="nil"/>
              <w:bottom w:val="single" w:sz="8" w:space="0" w:color="auto"/>
              <w:right w:val="single" w:sz="8" w:space="0" w:color="auto"/>
            </w:tcBorders>
            <w:shd w:val="clear" w:color="auto" w:fill="auto"/>
            <w:noWrap/>
            <w:vAlign w:val="center"/>
            <w:hideMark/>
          </w:tcPr>
          <w:p w14:paraId="47516602"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0</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14:paraId="18C347FA"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15,766,726,826</w:t>
            </w:r>
          </w:p>
        </w:tc>
        <w:tc>
          <w:tcPr>
            <w:tcW w:w="1200" w:type="dxa"/>
            <w:tcBorders>
              <w:top w:val="nil"/>
              <w:left w:val="nil"/>
              <w:bottom w:val="nil"/>
              <w:right w:val="single" w:sz="8" w:space="0" w:color="auto"/>
            </w:tcBorders>
            <w:shd w:val="clear" w:color="auto" w:fill="auto"/>
            <w:noWrap/>
            <w:vAlign w:val="center"/>
            <w:hideMark/>
          </w:tcPr>
          <w:p w14:paraId="16ACEEDB" w14:textId="77777777" w:rsidR="00C726D9" w:rsidRPr="00C726D9" w:rsidRDefault="00C726D9" w:rsidP="00C726D9">
            <w:pPr>
              <w:spacing w:after="0" w:line="240" w:lineRule="auto"/>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55.29</w:t>
            </w:r>
          </w:p>
        </w:tc>
      </w:tr>
      <w:tr w:rsidR="00C726D9" w:rsidRPr="00C726D9" w14:paraId="2515B760" w14:textId="77777777" w:rsidTr="00C726D9">
        <w:trPr>
          <w:trHeight w:val="360"/>
          <w:jc w:val="center"/>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48C6AEF3" w14:textId="77777777" w:rsidR="00C726D9" w:rsidRPr="00C726D9" w:rsidRDefault="00C726D9" w:rsidP="00C726D9">
            <w:pPr>
              <w:spacing w:after="0" w:line="240" w:lineRule="auto"/>
              <w:jc w:val="lef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 xml:space="preserve">Viviendas </w:t>
            </w:r>
          </w:p>
        </w:tc>
        <w:tc>
          <w:tcPr>
            <w:tcW w:w="1600" w:type="dxa"/>
            <w:tcBorders>
              <w:top w:val="nil"/>
              <w:left w:val="nil"/>
              <w:bottom w:val="single" w:sz="8" w:space="0" w:color="auto"/>
              <w:right w:val="single" w:sz="8" w:space="0" w:color="auto"/>
            </w:tcBorders>
            <w:shd w:val="clear" w:color="auto" w:fill="auto"/>
            <w:noWrap/>
            <w:vAlign w:val="center"/>
            <w:hideMark/>
          </w:tcPr>
          <w:p w14:paraId="093274A7"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57,616,576</w:t>
            </w:r>
          </w:p>
        </w:tc>
        <w:tc>
          <w:tcPr>
            <w:tcW w:w="1480" w:type="dxa"/>
            <w:tcBorders>
              <w:top w:val="nil"/>
              <w:left w:val="nil"/>
              <w:bottom w:val="single" w:sz="8" w:space="0" w:color="auto"/>
              <w:right w:val="single" w:sz="8" w:space="0" w:color="auto"/>
            </w:tcBorders>
            <w:shd w:val="clear" w:color="auto" w:fill="auto"/>
            <w:noWrap/>
            <w:vAlign w:val="center"/>
            <w:hideMark/>
          </w:tcPr>
          <w:p w14:paraId="6FB1E303"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0</w:t>
            </w:r>
          </w:p>
        </w:tc>
        <w:tc>
          <w:tcPr>
            <w:tcW w:w="1600" w:type="dxa"/>
            <w:tcBorders>
              <w:top w:val="nil"/>
              <w:left w:val="nil"/>
              <w:bottom w:val="single" w:sz="8" w:space="0" w:color="auto"/>
              <w:right w:val="single" w:sz="8" w:space="0" w:color="auto"/>
            </w:tcBorders>
            <w:shd w:val="clear" w:color="auto" w:fill="auto"/>
            <w:noWrap/>
            <w:vAlign w:val="center"/>
            <w:hideMark/>
          </w:tcPr>
          <w:p w14:paraId="165EDAB6"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57,616,576</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4FF92BE4" w14:textId="77777777" w:rsidR="00C726D9" w:rsidRPr="00C726D9" w:rsidRDefault="00C726D9" w:rsidP="00C726D9">
            <w:pPr>
              <w:spacing w:after="0" w:line="240" w:lineRule="auto"/>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0.20</w:t>
            </w:r>
          </w:p>
        </w:tc>
      </w:tr>
      <w:tr w:rsidR="00C726D9" w:rsidRPr="00C726D9" w14:paraId="1E135C92" w14:textId="77777777" w:rsidTr="00C726D9">
        <w:trPr>
          <w:trHeight w:val="360"/>
          <w:jc w:val="center"/>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4D28A6C8" w14:textId="77777777" w:rsidR="00C726D9" w:rsidRPr="00C726D9" w:rsidRDefault="00C726D9" w:rsidP="00C726D9">
            <w:pPr>
              <w:spacing w:after="0" w:line="240" w:lineRule="auto"/>
              <w:jc w:val="lef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Edificios no Habitacionales</w:t>
            </w:r>
          </w:p>
        </w:tc>
        <w:tc>
          <w:tcPr>
            <w:tcW w:w="1600" w:type="dxa"/>
            <w:tcBorders>
              <w:top w:val="nil"/>
              <w:left w:val="nil"/>
              <w:bottom w:val="single" w:sz="8" w:space="0" w:color="auto"/>
              <w:right w:val="single" w:sz="8" w:space="0" w:color="auto"/>
            </w:tcBorders>
            <w:shd w:val="clear" w:color="auto" w:fill="auto"/>
            <w:noWrap/>
            <w:vAlign w:val="center"/>
            <w:hideMark/>
          </w:tcPr>
          <w:p w14:paraId="2B931662"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8,743,906,540</w:t>
            </w:r>
          </w:p>
        </w:tc>
        <w:tc>
          <w:tcPr>
            <w:tcW w:w="1480" w:type="dxa"/>
            <w:tcBorders>
              <w:top w:val="nil"/>
              <w:left w:val="nil"/>
              <w:bottom w:val="single" w:sz="8" w:space="0" w:color="auto"/>
              <w:right w:val="single" w:sz="8" w:space="0" w:color="auto"/>
            </w:tcBorders>
            <w:shd w:val="clear" w:color="auto" w:fill="auto"/>
            <w:noWrap/>
            <w:vAlign w:val="center"/>
            <w:hideMark/>
          </w:tcPr>
          <w:p w14:paraId="44CE6B45"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0</w:t>
            </w:r>
          </w:p>
        </w:tc>
        <w:tc>
          <w:tcPr>
            <w:tcW w:w="1600" w:type="dxa"/>
            <w:tcBorders>
              <w:top w:val="nil"/>
              <w:left w:val="nil"/>
              <w:bottom w:val="single" w:sz="8" w:space="0" w:color="auto"/>
              <w:right w:val="single" w:sz="8" w:space="0" w:color="auto"/>
            </w:tcBorders>
            <w:shd w:val="clear" w:color="auto" w:fill="auto"/>
            <w:noWrap/>
            <w:vAlign w:val="center"/>
            <w:hideMark/>
          </w:tcPr>
          <w:p w14:paraId="3DF5FC59"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8,743,906,540</w:t>
            </w:r>
          </w:p>
        </w:tc>
        <w:tc>
          <w:tcPr>
            <w:tcW w:w="1200" w:type="dxa"/>
            <w:tcBorders>
              <w:top w:val="nil"/>
              <w:left w:val="nil"/>
              <w:bottom w:val="single" w:sz="8" w:space="0" w:color="auto"/>
              <w:right w:val="single" w:sz="8" w:space="0" w:color="auto"/>
            </w:tcBorders>
            <w:shd w:val="clear" w:color="auto" w:fill="auto"/>
            <w:noWrap/>
            <w:vAlign w:val="center"/>
            <w:hideMark/>
          </w:tcPr>
          <w:p w14:paraId="20DECAB6" w14:textId="77777777" w:rsidR="00C726D9" w:rsidRPr="00C726D9" w:rsidRDefault="00C726D9" w:rsidP="00C726D9">
            <w:pPr>
              <w:spacing w:after="0" w:line="240" w:lineRule="auto"/>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30.66</w:t>
            </w:r>
          </w:p>
        </w:tc>
      </w:tr>
      <w:tr w:rsidR="00C726D9" w:rsidRPr="00C726D9" w14:paraId="4C283C19" w14:textId="77777777" w:rsidTr="00C726D9">
        <w:trPr>
          <w:trHeight w:val="360"/>
          <w:jc w:val="center"/>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67D30635" w14:textId="77777777" w:rsidR="00C726D9" w:rsidRPr="00C726D9" w:rsidRDefault="00C726D9" w:rsidP="00C726D9">
            <w:pPr>
              <w:spacing w:after="0" w:line="240" w:lineRule="auto"/>
              <w:jc w:val="lef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Infraestructura</w:t>
            </w:r>
          </w:p>
        </w:tc>
        <w:tc>
          <w:tcPr>
            <w:tcW w:w="1600" w:type="dxa"/>
            <w:tcBorders>
              <w:top w:val="nil"/>
              <w:left w:val="nil"/>
              <w:bottom w:val="single" w:sz="8" w:space="0" w:color="auto"/>
              <w:right w:val="single" w:sz="8" w:space="0" w:color="auto"/>
            </w:tcBorders>
            <w:shd w:val="clear" w:color="auto" w:fill="auto"/>
            <w:noWrap/>
            <w:vAlign w:val="center"/>
            <w:hideMark/>
          </w:tcPr>
          <w:p w14:paraId="25A20FCC"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11,967,886</w:t>
            </w:r>
          </w:p>
        </w:tc>
        <w:tc>
          <w:tcPr>
            <w:tcW w:w="1480" w:type="dxa"/>
            <w:tcBorders>
              <w:top w:val="nil"/>
              <w:left w:val="nil"/>
              <w:bottom w:val="single" w:sz="8" w:space="0" w:color="auto"/>
              <w:right w:val="single" w:sz="8" w:space="0" w:color="auto"/>
            </w:tcBorders>
            <w:shd w:val="clear" w:color="auto" w:fill="auto"/>
            <w:noWrap/>
            <w:vAlign w:val="center"/>
            <w:hideMark/>
          </w:tcPr>
          <w:p w14:paraId="5544D834"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0</w:t>
            </w:r>
          </w:p>
        </w:tc>
        <w:tc>
          <w:tcPr>
            <w:tcW w:w="1600" w:type="dxa"/>
            <w:tcBorders>
              <w:top w:val="nil"/>
              <w:left w:val="nil"/>
              <w:bottom w:val="single" w:sz="8" w:space="0" w:color="auto"/>
              <w:right w:val="single" w:sz="8" w:space="0" w:color="auto"/>
            </w:tcBorders>
            <w:shd w:val="clear" w:color="auto" w:fill="auto"/>
            <w:noWrap/>
            <w:vAlign w:val="center"/>
            <w:hideMark/>
          </w:tcPr>
          <w:p w14:paraId="4D272D97"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11,967,886</w:t>
            </w:r>
          </w:p>
        </w:tc>
        <w:tc>
          <w:tcPr>
            <w:tcW w:w="1200" w:type="dxa"/>
            <w:tcBorders>
              <w:top w:val="nil"/>
              <w:left w:val="nil"/>
              <w:bottom w:val="single" w:sz="8" w:space="0" w:color="auto"/>
              <w:right w:val="single" w:sz="8" w:space="0" w:color="auto"/>
            </w:tcBorders>
            <w:shd w:val="clear" w:color="auto" w:fill="auto"/>
            <w:noWrap/>
            <w:vAlign w:val="center"/>
            <w:hideMark/>
          </w:tcPr>
          <w:p w14:paraId="730CC681" w14:textId="77777777" w:rsidR="00C726D9" w:rsidRPr="00C726D9" w:rsidRDefault="00C726D9" w:rsidP="00C726D9">
            <w:pPr>
              <w:spacing w:after="0" w:line="240" w:lineRule="auto"/>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0.04</w:t>
            </w:r>
          </w:p>
        </w:tc>
      </w:tr>
      <w:tr w:rsidR="00C726D9" w:rsidRPr="00C726D9" w14:paraId="10571C5B" w14:textId="77777777" w:rsidTr="00C726D9">
        <w:trPr>
          <w:trHeight w:val="525"/>
          <w:jc w:val="center"/>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3E966106" w14:textId="77777777" w:rsidR="00C726D9" w:rsidRPr="00C726D9" w:rsidRDefault="00C726D9" w:rsidP="00C726D9">
            <w:pPr>
              <w:spacing w:after="0" w:line="240" w:lineRule="auto"/>
              <w:jc w:val="lef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Construcciones en Proceso en Bienes de Dominio Público</w:t>
            </w:r>
          </w:p>
        </w:tc>
        <w:tc>
          <w:tcPr>
            <w:tcW w:w="1600" w:type="dxa"/>
            <w:tcBorders>
              <w:top w:val="nil"/>
              <w:left w:val="nil"/>
              <w:bottom w:val="single" w:sz="8" w:space="0" w:color="auto"/>
              <w:right w:val="single" w:sz="8" w:space="0" w:color="auto"/>
            </w:tcBorders>
            <w:shd w:val="clear" w:color="auto" w:fill="auto"/>
            <w:noWrap/>
            <w:vAlign w:val="center"/>
            <w:hideMark/>
          </w:tcPr>
          <w:p w14:paraId="2A150A22"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0</w:t>
            </w:r>
          </w:p>
        </w:tc>
        <w:tc>
          <w:tcPr>
            <w:tcW w:w="1480" w:type="dxa"/>
            <w:tcBorders>
              <w:top w:val="nil"/>
              <w:left w:val="nil"/>
              <w:bottom w:val="single" w:sz="8" w:space="0" w:color="auto"/>
              <w:right w:val="single" w:sz="8" w:space="0" w:color="auto"/>
            </w:tcBorders>
            <w:shd w:val="clear" w:color="auto" w:fill="auto"/>
            <w:noWrap/>
            <w:vAlign w:val="center"/>
            <w:hideMark/>
          </w:tcPr>
          <w:p w14:paraId="043283DC"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58,012,650</w:t>
            </w:r>
          </w:p>
        </w:tc>
        <w:tc>
          <w:tcPr>
            <w:tcW w:w="1600" w:type="dxa"/>
            <w:tcBorders>
              <w:top w:val="nil"/>
              <w:left w:val="nil"/>
              <w:bottom w:val="single" w:sz="8" w:space="0" w:color="auto"/>
              <w:right w:val="single" w:sz="8" w:space="0" w:color="auto"/>
            </w:tcBorders>
            <w:shd w:val="clear" w:color="auto" w:fill="auto"/>
            <w:noWrap/>
            <w:vAlign w:val="center"/>
            <w:hideMark/>
          </w:tcPr>
          <w:p w14:paraId="20F949AB"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58,012,650</w:t>
            </w:r>
          </w:p>
        </w:tc>
        <w:tc>
          <w:tcPr>
            <w:tcW w:w="1200" w:type="dxa"/>
            <w:tcBorders>
              <w:top w:val="nil"/>
              <w:left w:val="nil"/>
              <w:bottom w:val="single" w:sz="8" w:space="0" w:color="auto"/>
              <w:right w:val="single" w:sz="8" w:space="0" w:color="auto"/>
            </w:tcBorders>
            <w:shd w:val="clear" w:color="auto" w:fill="auto"/>
            <w:noWrap/>
            <w:vAlign w:val="center"/>
            <w:hideMark/>
          </w:tcPr>
          <w:p w14:paraId="168BE82F" w14:textId="77777777" w:rsidR="00C726D9" w:rsidRPr="00C726D9" w:rsidRDefault="00C726D9" w:rsidP="00C726D9">
            <w:pPr>
              <w:spacing w:after="0" w:line="240" w:lineRule="auto"/>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0.20</w:t>
            </w:r>
          </w:p>
        </w:tc>
      </w:tr>
      <w:tr w:rsidR="00C726D9" w:rsidRPr="00C726D9" w14:paraId="257CA8F7" w14:textId="77777777" w:rsidTr="00C726D9">
        <w:trPr>
          <w:trHeight w:val="525"/>
          <w:jc w:val="center"/>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78E79B42" w14:textId="77777777" w:rsidR="00C726D9" w:rsidRPr="00C726D9" w:rsidRDefault="00C726D9" w:rsidP="00C726D9">
            <w:pPr>
              <w:spacing w:after="0" w:line="240" w:lineRule="auto"/>
              <w:jc w:val="lef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Construcciones en Proceso en Bienes Propios</w:t>
            </w:r>
          </w:p>
        </w:tc>
        <w:tc>
          <w:tcPr>
            <w:tcW w:w="1600" w:type="dxa"/>
            <w:tcBorders>
              <w:top w:val="nil"/>
              <w:left w:val="nil"/>
              <w:bottom w:val="single" w:sz="8" w:space="0" w:color="auto"/>
              <w:right w:val="single" w:sz="8" w:space="0" w:color="auto"/>
            </w:tcBorders>
            <w:shd w:val="clear" w:color="auto" w:fill="auto"/>
            <w:noWrap/>
            <w:vAlign w:val="center"/>
            <w:hideMark/>
          </w:tcPr>
          <w:p w14:paraId="683C28C3"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0</w:t>
            </w:r>
          </w:p>
        </w:tc>
        <w:tc>
          <w:tcPr>
            <w:tcW w:w="1480" w:type="dxa"/>
            <w:tcBorders>
              <w:top w:val="nil"/>
              <w:left w:val="nil"/>
              <w:bottom w:val="single" w:sz="8" w:space="0" w:color="auto"/>
              <w:right w:val="single" w:sz="8" w:space="0" w:color="auto"/>
            </w:tcBorders>
            <w:shd w:val="clear" w:color="auto" w:fill="auto"/>
            <w:noWrap/>
            <w:vAlign w:val="center"/>
            <w:hideMark/>
          </w:tcPr>
          <w:p w14:paraId="66F4AF5B"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3,877,490,739</w:t>
            </w:r>
          </w:p>
        </w:tc>
        <w:tc>
          <w:tcPr>
            <w:tcW w:w="1600" w:type="dxa"/>
            <w:tcBorders>
              <w:top w:val="nil"/>
              <w:left w:val="nil"/>
              <w:bottom w:val="single" w:sz="8" w:space="0" w:color="auto"/>
              <w:right w:val="single" w:sz="8" w:space="0" w:color="auto"/>
            </w:tcBorders>
            <w:shd w:val="clear" w:color="auto" w:fill="auto"/>
            <w:noWrap/>
            <w:vAlign w:val="center"/>
            <w:hideMark/>
          </w:tcPr>
          <w:p w14:paraId="53F83330"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3,877,490,739</w:t>
            </w:r>
          </w:p>
        </w:tc>
        <w:tc>
          <w:tcPr>
            <w:tcW w:w="1200" w:type="dxa"/>
            <w:tcBorders>
              <w:top w:val="nil"/>
              <w:left w:val="nil"/>
              <w:bottom w:val="single" w:sz="8" w:space="0" w:color="auto"/>
              <w:right w:val="single" w:sz="8" w:space="0" w:color="auto"/>
            </w:tcBorders>
            <w:shd w:val="clear" w:color="auto" w:fill="auto"/>
            <w:noWrap/>
            <w:vAlign w:val="center"/>
            <w:hideMark/>
          </w:tcPr>
          <w:p w14:paraId="73D09F50" w14:textId="77777777" w:rsidR="00C726D9" w:rsidRPr="00C726D9" w:rsidRDefault="00C726D9" w:rsidP="00C726D9">
            <w:pPr>
              <w:spacing w:after="0" w:line="240" w:lineRule="auto"/>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13.60</w:t>
            </w:r>
          </w:p>
        </w:tc>
      </w:tr>
      <w:tr w:rsidR="00C726D9" w:rsidRPr="00C726D9" w14:paraId="3E579EDA" w14:textId="77777777" w:rsidTr="00C726D9">
        <w:trPr>
          <w:trHeight w:val="780"/>
          <w:jc w:val="center"/>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3A6ACA99" w14:textId="77777777" w:rsidR="00C726D9" w:rsidRPr="00C726D9" w:rsidRDefault="00C726D9" w:rsidP="00C726D9">
            <w:pPr>
              <w:spacing w:after="0" w:line="240" w:lineRule="auto"/>
              <w:jc w:val="left"/>
              <w:rPr>
                <w:rFonts w:ascii="Arial" w:eastAsia="Times New Roman" w:hAnsi="Arial" w:cs="Arial"/>
                <w:b/>
                <w:bCs/>
                <w:color w:val="000000"/>
                <w:sz w:val="20"/>
                <w:szCs w:val="20"/>
                <w:lang w:eastAsia="es-MX"/>
              </w:rPr>
            </w:pPr>
            <w:r w:rsidRPr="00C726D9">
              <w:rPr>
                <w:rFonts w:ascii="Arial" w:eastAsia="Times New Roman" w:hAnsi="Arial" w:cs="Arial"/>
                <w:b/>
                <w:bCs/>
                <w:color w:val="000000"/>
                <w:sz w:val="20"/>
                <w:szCs w:val="20"/>
                <w:lang w:eastAsia="es-MX"/>
              </w:rPr>
              <w:t>Total de Bienes Inmuebles, Infraestructura y Construcciones en Proceso</w:t>
            </w:r>
          </w:p>
        </w:tc>
        <w:tc>
          <w:tcPr>
            <w:tcW w:w="1600" w:type="dxa"/>
            <w:tcBorders>
              <w:top w:val="nil"/>
              <w:left w:val="nil"/>
              <w:bottom w:val="single" w:sz="8" w:space="0" w:color="auto"/>
              <w:right w:val="single" w:sz="8" w:space="0" w:color="auto"/>
            </w:tcBorders>
            <w:shd w:val="clear" w:color="auto" w:fill="auto"/>
            <w:noWrap/>
            <w:vAlign w:val="center"/>
            <w:hideMark/>
          </w:tcPr>
          <w:p w14:paraId="2DEB1245" w14:textId="77777777" w:rsidR="00C726D9" w:rsidRPr="00C726D9" w:rsidRDefault="00C726D9" w:rsidP="00C726D9">
            <w:pPr>
              <w:spacing w:after="0" w:line="240" w:lineRule="auto"/>
              <w:jc w:val="right"/>
              <w:rPr>
                <w:rFonts w:ascii="Arial" w:eastAsia="Times New Roman" w:hAnsi="Arial" w:cs="Arial"/>
                <w:b/>
                <w:bCs/>
                <w:color w:val="000000"/>
                <w:sz w:val="20"/>
                <w:szCs w:val="20"/>
                <w:lang w:eastAsia="es-MX"/>
              </w:rPr>
            </w:pPr>
            <w:r w:rsidRPr="00C726D9">
              <w:rPr>
                <w:rFonts w:ascii="Arial" w:eastAsia="Times New Roman" w:hAnsi="Arial" w:cs="Arial"/>
                <w:b/>
                <w:bCs/>
                <w:color w:val="000000"/>
                <w:sz w:val="20"/>
                <w:szCs w:val="20"/>
                <w:lang w:eastAsia="es-MX"/>
              </w:rPr>
              <w:t>24,580,217,829</w:t>
            </w:r>
          </w:p>
        </w:tc>
        <w:tc>
          <w:tcPr>
            <w:tcW w:w="1480" w:type="dxa"/>
            <w:tcBorders>
              <w:top w:val="nil"/>
              <w:left w:val="nil"/>
              <w:bottom w:val="single" w:sz="8" w:space="0" w:color="auto"/>
              <w:right w:val="single" w:sz="8" w:space="0" w:color="auto"/>
            </w:tcBorders>
            <w:shd w:val="clear" w:color="auto" w:fill="auto"/>
            <w:noWrap/>
            <w:vAlign w:val="center"/>
            <w:hideMark/>
          </w:tcPr>
          <w:p w14:paraId="2E28ADDF" w14:textId="77777777" w:rsidR="00C726D9" w:rsidRPr="00C726D9" w:rsidRDefault="00C726D9" w:rsidP="00C726D9">
            <w:pPr>
              <w:spacing w:after="0" w:line="240" w:lineRule="auto"/>
              <w:jc w:val="right"/>
              <w:rPr>
                <w:rFonts w:ascii="Arial" w:eastAsia="Times New Roman" w:hAnsi="Arial" w:cs="Arial"/>
                <w:b/>
                <w:bCs/>
                <w:color w:val="000000"/>
                <w:sz w:val="20"/>
                <w:szCs w:val="20"/>
                <w:lang w:eastAsia="es-MX"/>
              </w:rPr>
            </w:pPr>
            <w:r w:rsidRPr="00C726D9">
              <w:rPr>
                <w:rFonts w:ascii="Arial" w:eastAsia="Times New Roman" w:hAnsi="Arial" w:cs="Arial"/>
                <w:b/>
                <w:bCs/>
                <w:color w:val="000000"/>
                <w:sz w:val="20"/>
                <w:szCs w:val="20"/>
                <w:lang w:eastAsia="es-MX"/>
              </w:rPr>
              <w:t>3,935,503,389</w:t>
            </w:r>
          </w:p>
        </w:tc>
        <w:tc>
          <w:tcPr>
            <w:tcW w:w="1600" w:type="dxa"/>
            <w:tcBorders>
              <w:top w:val="nil"/>
              <w:left w:val="nil"/>
              <w:bottom w:val="single" w:sz="8" w:space="0" w:color="auto"/>
              <w:right w:val="single" w:sz="8" w:space="0" w:color="auto"/>
            </w:tcBorders>
            <w:shd w:val="clear" w:color="auto" w:fill="auto"/>
            <w:noWrap/>
            <w:vAlign w:val="center"/>
            <w:hideMark/>
          </w:tcPr>
          <w:p w14:paraId="69A2FE74" w14:textId="77777777" w:rsidR="00C726D9" w:rsidRPr="00C726D9" w:rsidRDefault="00C726D9" w:rsidP="00C726D9">
            <w:pPr>
              <w:spacing w:after="0" w:line="240" w:lineRule="auto"/>
              <w:jc w:val="right"/>
              <w:rPr>
                <w:rFonts w:ascii="Arial" w:eastAsia="Times New Roman" w:hAnsi="Arial" w:cs="Arial"/>
                <w:b/>
                <w:bCs/>
                <w:color w:val="000000"/>
                <w:sz w:val="20"/>
                <w:szCs w:val="20"/>
                <w:lang w:eastAsia="es-MX"/>
              </w:rPr>
            </w:pPr>
            <w:r w:rsidRPr="00C726D9">
              <w:rPr>
                <w:rFonts w:ascii="Arial" w:eastAsia="Times New Roman" w:hAnsi="Arial" w:cs="Arial"/>
                <w:b/>
                <w:bCs/>
                <w:color w:val="000000"/>
                <w:sz w:val="20"/>
                <w:szCs w:val="20"/>
                <w:lang w:eastAsia="es-MX"/>
              </w:rPr>
              <w:t>28,515,721,217</w:t>
            </w:r>
          </w:p>
        </w:tc>
        <w:tc>
          <w:tcPr>
            <w:tcW w:w="1200" w:type="dxa"/>
            <w:tcBorders>
              <w:top w:val="nil"/>
              <w:left w:val="nil"/>
              <w:bottom w:val="single" w:sz="8" w:space="0" w:color="auto"/>
              <w:right w:val="single" w:sz="8" w:space="0" w:color="auto"/>
            </w:tcBorders>
            <w:shd w:val="clear" w:color="auto" w:fill="auto"/>
            <w:noWrap/>
            <w:vAlign w:val="center"/>
            <w:hideMark/>
          </w:tcPr>
          <w:p w14:paraId="2D089C0E" w14:textId="77777777" w:rsidR="00C726D9" w:rsidRPr="00C726D9" w:rsidRDefault="00C726D9" w:rsidP="00C726D9">
            <w:pPr>
              <w:spacing w:after="0" w:line="240" w:lineRule="auto"/>
              <w:rPr>
                <w:rFonts w:ascii="Arial" w:eastAsia="Times New Roman" w:hAnsi="Arial" w:cs="Arial"/>
                <w:b/>
                <w:bCs/>
                <w:color w:val="000000"/>
                <w:sz w:val="20"/>
                <w:szCs w:val="20"/>
                <w:lang w:eastAsia="es-MX"/>
              </w:rPr>
            </w:pPr>
            <w:r w:rsidRPr="00C726D9">
              <w:rPr>
                <w:rFonts w:ascii="Arial" w:eastAsia="Times New Roman" w:hAnsi="Arial" w:cs="Arial"/>
                <w:b/>
                <w:bCs/>
                <w:color w:val="000000"/>
                <w:sz w:val="20"/>
                <w:szCs w:val="20"/>
                <w:lang w:eastAsia="es-MX"/>
              </w:rPr>
              <w:t>100</w:t>
            </w:r>
          </w:p>
        </w:tc>
      </w:tr>
    </w:tbl>
    <w:p w14:paraId="5D9EC2D6" w14:textId="77777777" w:rsidR="006D76A3" w:rsidRDefault="006D76A3" w:rsidP="00C726D9">
      <w:pPr>
        <w:spacing w:after="0" w:line="240" w:lineRule="auto"/>
        <w:rPr>
          <w:rFonts w:ascii="Arial" w:hAnsi="Arial" w:cs="Arial"/>
          <w:b/>
          <w:u w:val="single"/>
        </w:rPr>
      </w:pPr>
    </w:p>
    <w:p w14:paraId="4275DBE6" w14:textId="77777777" w:rsidR="00C726D9" w:rsidRPr="00CA34F5" w:rsidRDefault="00C726D9" w:rsidP="00C726D9">
      <w:pPr>
        <w:spacing w:after="0" w:line="240" w:lineRule="auto"/>
        <w:rPr>
          <w:rFonts w:ascii="Arial" w:hAnsi="Arial" w:cs="Arial"/>
          <w:b/>
          <w:u w:val="single"/>
        </w:rPr>
      </w:pPr>
    </w:p>
    <w:p w14:paraId="46B8B6D8" w14:textId="77777777" w:rsidR="006D76A3" w:rsidRPr="00CA34F5" w:rsidRDefault="006D76A3" w:rsidP="00DA1486">
      <w:pPr>
        <w:spacing w:after="0" w:line="240" w:lineRule="auto"/>
        <w:rPr>
          <w:rFonts w:ascii="Arial" w:hAnsi="Arial" w:cs="Arial"/>
          <w:b/>
          <w:u w:val="single"/>
        </w:rPr>
      </w:pPr>
    </w:p>
    <w:p w14:paraId="3958485C" w14:textId="77777777" w:rsidR="00134C96" w:rsidRPr="00CA34F5" w:rsidRDefault="00931753" w:rsidP="00031734">
      <w:pPr>
        <w:spacing w:after="0" w:line="240" w:lineRule="auto"/>
        <w:jc w:val="left"/>
        <w:rPr>
          <w:rFonts w:ascii="Arial" w:hAnsi="Arial" w:cs="Arial"/>
          <w:b/>
          <w:u w:val="single"/>
        </w:rPr>
      </w:pPr>
      <w:r w:rsidRPr="00CA34F5">
        <w:rPr>
          <w:rFonts w:ascii="Arial" w:hAnsi="Arial" w:cs="Arial"/>
        </w:rPr>
        <w:t xml:space="preserve"> </w:t>
      </w:r>
      <w:r w:rsidR="0079441A" w:rsidRPr="00CA34F5">
        <w:rPr>
          <w:rFonts w:ascii="Arial" w:hAnsi="Arial" w:cs="Arial"/>
          <w:b/>
          <w:u w:val="single"/>
        </w:rPr>
        <w:t>Bienes Muebles</w:t>
      </w:r>
    </w:p>
    <w:p w14:paraId="70F92AC2" w14:textId="77777777" w:rsidR="006D76A3" w:rsidRPr="00CA34F5" w:rsidRDefault="006D76A3" w:rsidP="00031734">
      <w:pPr>
        <w:spacing w:after="0" w:line="240" w:lineRule="auto"/>
        <w:jc w:val="left"/>
        <w:rPr>
          <w:rFonts w:ascii="Arial" w:hAnsi="Arial" w:cs="Arial"/>
          <w:b/>
          <w:u w:val="single"/>
        </w:rPr>
      </w:pPr>
    </w:p>
    <w:p w14:paraId="446A6BC0" w14:textId="77777777" w:rsidR="006D76A3" w:rsidRDefault="006D76A3" w:rsidP="006D76A3">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El saldo de este rubro se integra como sigue:</w:t>
      </w:r>
    </w:p>
    <w:p w14:paraId="7EFF682B" w14:textId="77777777" w:rsidR="00267429" w:rsidRDefault="00267429" w:rsidP="006D76A3">
      <w:pPr>
        <w:spacing w:after="0" w:line="240" w:lineRule="auto"/>
        <w:jc w:val="left"/>
        <w:rPr>
          <w:rFonts w:ascii="Arial" w:eastAsia="Times New Roman" w:hAnsi="Arial" w:cs="Arial"/>
          <w:color w:val="000000"/>
          <w:lang w:eastAsia="es-MX"/>
        </w:rPr>
      </w:pPr>
    </w:p>
    <w:p w14:paraId="274C37BA" w14:textId="77777777" w:rsidR="00267429" w:rsidRDefault="00267429" w:rsidP="006D76A3">
      <w:pPr>
        <w:spacing w:after="0" w:line="240" w:lineRule="auto"/>
        <w:jc w:val="left"/>
        <w:rPr>
          <w:rFonts w:ascii="Arial" w:eastAsia="Times New Roman" w:hAnsi="Arial" w:cs="Arial"/>
          <w:color w:val="000000"/>
          <w:lang w:eastAsia="es-MX"/>
        </w:rPr>
      </w:pPr>
    </w:p>
    <w:p w14:paraId="3202A905" w14:textId="77777777" w:rsidR="00267429" w:rsidRDefault="00267429" w:rsidP="006D76A3">
      <w:pPr>
        <w:spacing w:after="0" w:line="240" w:lineRule="auto"/>
        <w:jc w:val="left"/>
        <w:rPr>
          <w:rFonts w:ascii="Arial" w:eastAsia="Times New Roman" w:hAnsi="Arial" w:cs="Arial"/>
          <w:color w:val="000000"/>
          <w:lang w:eastAsia="es-MX"/>
        </w:rPr>
      </w:pPr>
    </w:p>
    <w:p w14:paraId="2B1B057A" w14:textId="77777777" w:rsidR="00267429" w:rsidRDefault="00267429" w:rsidP="006D76A3">
      <w:pPr>
        <w:spacing w:after="0" w:line="240" w:lineRule="auto"/>
        <w:jc w:val="left"/>
        <w:rPr>
          <w:rFonts w:ascii="Arial" w:eastAsia="Times New Roman" w:hAnsi="Arial" w:cs="Arial"/>
          <w:color w:val="000000"/>
          <w:lang w:eastAsia="es-MX"/>
        </w:rPr>
      </w:pPr>
    </w:p>
    <w:p w14:paraId="168959D2" w14:textId="77777777" w:rsidR="00C726D9" w:rsidRPr="00CA34F5" w:rsidRDefault="00C726D9" w:rsidP="006D76A3">
      <w:pPr>
        <w:spacing w:after="0" w:line="240" w:lineRule="auto"/>
        <w:jc w:val="left"/>
        <w:rPr>
          <w:rFonts w:ascii="Arial" w:eastAsia="Times New Roman" w:hAnsi="Arial" w:cs="Arial"/>
          <w:color w:val="000000"/>
          <w:lang w:eastAsia="es-MX"/>
        </w:rPr>
      </w:pPr>
    </w:p>
    <w:p w14:paraId="21EA4B51" w14:textId="77777777" w:rsidR="006D76A3" w:rsidRDefault="006D76A3" w:rsidP="00031734">
      <w:pPr>
        <w:spacing w:after="0" w:line="240" w:lineRule="auto"/>
        <w:jc w:val="left"/>
        <w:rPr>
          <w:rFonts w:ascii="Arial" w:hAnsi="Arial" w:cs="Arial"/>
          <w:b/>
          <w:u w:val="single"/>
        </w:rPr>
      </w:pPr>
    </w:p>
    <w:tbl>
      <w:tblPr>
        <w:tblW w:w="7020" w:type="dxa"/>
        <w:jc w:val="center"/>
        <w:tblCellMar>
          <w:left w:w="70" w:type="dxa"/>
          <w:right w:w="70" w:type="dxa"/>
        </w:tblCellMar>
        <w:tblLook w:val="04A0" w:firstRow="1" w:lastRow="0" w:firstColumn="1" w:lastColumn="0" w:noHBand="0" w:noVBand="1"/>
      </w:tblPr>
      <w:tblGrid>
        <w:gridCol w:w="3940"/>
        <w:gridCol w:w="1600"/>
        <w:gridCol w:w="1480"/>
      </w:tblGrid>
      <w:tr w:rsidR="00C726D9" w:rsidRPr="00C726D9" w14:paraId="254F3402" w14:textId="77777777" w:rsidTr="00C726D9">
        <w:trPr>
          <w:trHeight w:val="720"/>
          <w:jc w:val="center"/>
        </w:trPr>
        <w:tc>
          <w:tcPr>
            <w:tcW w:w="394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49C25460" w14:textId="77777777" w:rsidR="00C726D9" w:rsidRPr="00C726D9" w:rsidRDefault="00C726D9" w:rsidP="00C726D9">
            <w:pPr>
              <w:spacing w:after="0" w:line="240" w:lineRule="auto"/>
              <w:rPr>
                <w:rFonts w:ascii="Arial" w:eastAsia="Times New Roman" w:hAnsi="Arial" w:cs="Arial"/>
                <w:b/>
                <w:bCs/>
                <w:color w:val="000000"/>
                <w:sz w:val="20"/>
                <w:szCs w:val="20"/>
                <w:lang w:eastAsia="es-MX"/>
              </w:rPr>
            </w:pPr>
            <w:r w:rsidRPr="00C726D9">
              <w:rPr>
                <w:rFonts w:ascii="Arial" w:eastAsia="Times New Roman" w:hAnsi="Arial" w:cs="Arial"/>
                <w:b/>
                <w:bCs/>
                <w:color w:val="000000"/>
                <w:sz w:val="20"/>
                <w:szCs w:val="20"/>
                <w:lang w:eastAsia="es-MX"/>
              </w:rPr>
              <w:lastRenderedPageBreak/>
              <w:t>Concepto</w:t>
            </w:r>
          </w:p>
        </w:tc>
        <w:tc>
          <w:tcPr>
            <w:tcW w:w="1600" w:type="dxa"/>
            <w:tcBorders>
              <w:top w:val="single" w:sz="8" w:space="0" w:color="auto"/>
              <w:left w:val="nil"/>
              <w:bottom w:val="single" w:sz="8" w:space="0" w:color="auto"/>
              <w:right w:val="nil"/>
            </w:tcBorders>
            <w:shd w:val="clear" w:color="000000" w:fill="D0CECE"/>
            <w:noWrap/>
            <w:vAlign w:val="center"/>
            <w:hideMark/>
          </w:tcPr>
          <w:p w14:paraId="3F2BD399" w14:textId="77777777" w:rsidR="00C726D9" w:rsidRPr="00C726D9" w:rsidRDefault="00C726D9" w:rsidP="00C726D9">
            <w:pPr>
              <w:spacing w:after="0" w:line="240" w:lineRule="auto"/>
              <w:rPr>
                <w:rFonts w:ascii="Arial" w:eastAsia="Times New Roman" w:hAnsi="Arial" w:cs="Arial"/>
                <w:b/>
                <w:bCs/>
                <w:color w:val="000000"/>
                <w:sz w:val="20"/>
                <w:szCs w:val="20"/>
                <w:lang w:eastAsia="es-MX"/>
              </w:rPr>
            </w:pPr>
            <w:r w:rsidRPr="00C726D9">
              <w:rPr>
                <w:rFonts w:ascii="Arial" w:eastAsia="Times New Roman" w:hAnsi="Arial" w:cs="Arial"/>
                <w:b/>
                <w:bCs/>
                <w:color w:val="000000"/>
                <w:sz w:val="20"/>
                <w:szCs w:val="20"/>
                <w:lang w:eastAsia="es-MX"/>
              </w:rPr>
              <w:t xml:space="preserve"> Importe </w:t>
            </w:r>
          </w:p>
        </w:tc>
        <w:tc>
          <w:tcPr>
            <w:tcW w:w="1480" w:type="dxa"/>
            <w:tcBorders>
              <w:top w:val="single" w:sz="8" w:space="0" w:color="auto"/>
              <w:left w:val="single" w:sz="4" w:space="0" w:color="auto"/>
              <w:bottom w:val="single" w:sz="8" w:space="0" w:color="auto"/>
              <w:right w:val="single" w:sz="8" w:space="0" w:color="auto"/>
            </w:tcBorders>
            <w:shd w:val="clear" w:color="000000" w:fill="D0CECE"/>
            <w:noWrap/>
            <w:vAlign w:val="center"/>
            <w:hideMark/>
          </w:tcPr>
          <w:p w14:paraId="0F615D91" w14:textId="77777777" w:rsidR="00C726D9" w:rsidRPr="00C726D9" w:rsidRDefault="00C726D9" w:rsidP="00C726D9">
            <w:pPr>
              <w:spacing w:after="0" w:line="240" w:lineRule="auto"/>
              <w:rPr>
                <w:rFonts w:ascii="Arial" w:eastAsia="Times New Roman" w:hAnsi="Arial" w:cs="Arial"/>
                <w:b/>
                <w:bCs/>
                <w:color w:val="000000"/>
                <w:sz w:val="20"/>
                <w:szCs w:val="20"/>
                <w:lang w:eastAsia="es-MX"/>
              </w:rPr>
            </w:pPr>
            <w:r w:rsidRPr="00C726D9">
              <w:rPr>
                <w:rFonts w:ascii="Arial" w:eastAsia="Times New Roman" w:hAnsi="Arial" w:cs="Arial"/>
                <w:b/>
                <w:bCs/>
                <w:color w:val="000000"/>
                <w:sz w:val="20"/>
                <w:szCs w:val="20"/>
                <w:lang w:eastAsia="es-MX"/>
              </w:rPr>
              <w:t>%</w:t>
            </w:r>
          </w:p>
        </w:tc>
      </w:tr>
      <w:tr w:rsidR="00C726D9" w:rsidRPr="00C726D9" w14:paraId="7F2DB130" w14:textId="77777777" w:rsidTr="00C726D9">
        <w:trPr>
          <w:trHeight w:val="360"/>
          <w:jc w:val="center"/>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6A8AEA45" w14:textId="77777777" w:rsidR="00C726D9" w:rsidRPr="00C726D9" w:rsidRDefault="00C726D9" w:rsidP="00C726D9">
            <w:pPr>
              <w:spacing w:after="0" w:line="240" w:lineRule="auto"/>
              <w:jc w:val="lef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Mobiliario Y Equipo De Administración</w:t>
            </w:r>
          </w:p>
        </w:tc>
        <w:tc>
          <w:tcPr>
            <w:tcW w:w="1600" w:type="dxa"/>
            <w:tcBorders>
              <w:top w:val="nil"/>
              <w:left w:val="nil"/>
              <w:bottom w:val="single" w:sz="8" w:space="0" w:color="auto"/>
              <w:right w:val="nil"/>
            </w:tcBorders>
            <w:shd w:val="clear" w:color="auto" w:fill="auto"/>
            <w:noWrap/>
            <w:vAlign w:val="center"/>
            <w:hideMark/>
          </w:tcPr>
          <w:p w14:paraId="6E4A4616"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817,389,658</w:t>
            </w:r>
          </w:p>
        </w:tc>
        <w:tc>
          <w:tcPr>
            <w:tcW w:w="1480" w:type="dxa"/>
            <w:tcBorders>
              <w:top w:val="nil"/>
              <w:left w:val="single" w:sz="8" w:space="0" w:color="auto"/>
              <w:bottom w:val="single" w:sz="4" w:space="0" w:color="auto"/>
              <w:right w:val="single" w:sz="8" w:space="0" w:color="auto"/>
            </w:tcBorders>
            <w:shd w:val="clear" w:color="auto" w:fill="auto"/>
            <w:noWrap/>
            <w:vAlign w:val="center"/>
            <w:hideMark/>
          </w:tcPr>
          <w:p w14:paraId="326F9ED9" w14:textId="77777777" w:rsidR="00C726D9" w:rsidRPr="00C726D9" w:rsidRDefault="00C726D9" w:rsidP="00C726D9">
            <w:pPr>
              <w:spacing w:after="0" w:line="240" w:lineRule="auto"/>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21.27</w:t>
            </w:r>
          </w:p>
        </w:tc>
      </w:tr>
      <w:tr w:rsidR="00C726D9" w:rsidRPr="00C726D9" w14:paraId="0B852AF7" w14:textId="77777777" w:rsidTr="00C726D9">
        <w:trPr>
          <w:trHeight w:val="540"/>
          <w:jc w:val="center"/>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16F36DC9" w14:textId="77777777" w:rsidR="00C726D9" w:rsidRPr="00C726D9" w:rsidRDefault="00C726D9" w:rsidP="00C726D9">
            <w:pPr>
              <w:spacing w:after="0" w:line="240" w:lineRule="auto"/>
              <w:jc w:val="lef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Mobiliario Y Equipo Educacional Y Recreativo</w:t>
            </w:r>
          </w:p>
        </w:tc>
        <w:tc>
          <w:tcPr>
            <w:tcW w:w="1600" w:type="dxa"/>
            <w:tcBorders>
              <w:top w:val="nil"/>
              <w:left w:val="nil"/>
              <w:bottom w:val="single" w:sz="8" w:space="0" w:color="auto"/>
              <w:right w:val="nil"/>
            </w:tcBorders>
            <w:shd w:val="clear" w:color="auto" w:fill="auto"/>
            <w:noWrap/>
            <w:vAlign w:val="center"/>
            <w:hideMark/>
          </w:tcPr>
          <w:p w14:paraId="13C76880"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197,348,145</w:t>
            </w:r>
          </w:p>
        </w:tc>
        <w:tc>
          <w:tcPr>
            <w:tcW w:w="1480" w:type="dxa"/>
            <w:tcBorders>
              <w:top w:val="nil"/>
              <w:left w:val="single" w:sz="8" w:space="0" w:color="auto"/>
              <w:bottom w:val="single" w:sz="4" w:space="0" w:color="auto"/>
              <w:right w:val="single" w:sz="8" w:space="0" w:color="auto"/>
            </w:tcBorders>
            <w:shd w:val="clear" w:color="auto" w:fill="auto"/>
            <w:noWrap/>
            <w:vAlign w:val="center"/>
            <w:hideMark/>
          </w:tcPr>
          <w:p w14:paraId="6400BDFB" w14:textId="77777777" w:rsidR="00C726D9" w:rsidRPr="00C726D9" w:rsidRDefault="00C726D9" w:rsidP="00C726D9">
            <w:pPr>
              <w:spacing w:after="0" w:line="240" w:lineRule="auto"/>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5.14</w:t>
            </w:r>
          </w:p>
        </w:tc>
      </w:tr>
      <w:tr w:rsidR="00C726D9" w:rsidRPr="00C726D9" w14:paraId="7360B178" w14:textId="77777777" w:rsidTr="00C726D9">
        <w:trPr>
          <w:trHeight w:val="540"/>
          <w:jc w:val="center"/>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0ECE04F9" w14:textId="77777777" w:rsidR="00C726D9" w:rsidRPr="00C726D9" w:rsidRDefault="00C726D9" w:rsidP="00C726D9">
            <w:pPr>
              <w:spacing w:after="0" w:line="240" w:lineRule="auto"/>
              <w:jc w:val="lef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Equipo E Instrumental Médico Y De Laboratorio</w:t>
            </w:r>
          </w:p>
        </w:tc>
        <w:tc>
          <w:tcPr>
            <w:tcW w:w="1600" w:type="dxa"/>
            <w:tcBorders>
              <w:top w:val="nil"/>
              <w:left w:val="nil"/>
              <w:bottom w:val="single" w:sz="8" w:space="0" w:color="auto"/>
              <w:right w:val="nil"/>
            </w:tcBorders>
            <w:shd w:val="clear" w:color="auto" w:fill="auto"/>
            <w:noWrap/>
            <w:vAlign w:val="center"/>
            <w:hideMark/>
          </w:tcPr>
          <w:p w14:paraId="10A183A0"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985,914,543</w:t>
            </w:r>
          </w:p>
        </w:tc>
        <w:tc>
          <w:tcPr>
            <w:tcW w:w="1480" w:type="dxa"/>
            <w:tcBorders>
              <w:top w:val="nil"/>
              <w:left w:val="single" w:sz="8" w:space="0" w:color="auto"/>
              <w:bottom w:val="single" w:sz="4" w:space="0" w:color="auto"/>
              <w:right w:val="single" w:sz="8" w:space="0" w:color="auto"/>
            </w:tcBorders>
            <w:shd w:val="clear" w:color="auto" w:fill="auto"/>
            <w:noWrap/>
            <w:vAlign w:val="center"/>
            <w:hideMark/>
          </w:tcPr>
          <w:p w14:paraId="1F434953" w14:textId="77777777" w:rsidR="00C726D9" w:rsidRPr="00C726D9" w:rsidRDefault="00C726D9" w:rsidP="00C726D9">
            <w:pPr>
              <w:spacing w:after="0" w:line="240" w:lineRule="auto"/>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25.66</w:t>
            </w:r>
          </w:p>
        </w:tc>
      </w:tr>
      <w:tr w:rsidR="00C726D9" w:rsidRPr="00C726D9" w14:paraId="40DA06AE" w14:textId="77777777" w:rsidTr="00C726D9">
        <w:trPr>
          <w:trHeight w:val="360"/>
          <w:jc w:val="center"/>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5F852AE6" w14:textId="77777777" w:rsidR="00C726D9" w:rsidRPr="00C726D9" w:rsidRDefault="00C726D9" w:rsidP="00C726D9">
            <w:pPr>
              <w:spacing w:after="0" w:line="240" w:lineRule="auto"/>
              <w:jc w:val="lef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Vehículos Y Equipo De Transporte</w:t>
            </w:r>
          </w:p>
        </w:tc>
        <w:tc>
          <w:tcPr>
            <w:tcW w:w="1600" w:type="dxa"/>
            <w:tcBorders>
              <w:top w:val="nil"/>
              <w:left w:val="nil"/>
              <w:bottom w:val="single" w:sz="8" w:space="0" w:color="auto"/>
              <w:right w:val="nil"/>
            </w:tcBorders>
            <w:shd w:val="clear" w:color="auto" w:fill="auto"/>
            <w:noWrap/>
            <w:vAlign w:val="center"/>
            <w:hideMark/>
          </w:tcPr>
          <w:p w14:paraId="12CB9F63"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888,170,326</w:t>
            </w:r>
          </w:p>
        </w:tc>
        <w:tc>
          <w:tcPr>
            <w:tcW w:w="1480" w:type="dxa"/>
            <w:tcBorders>
              <w:top w:val="nil"/>
              <w:left w:val="single" w:sz="8" w:space="0" w:color="auto"/>
              <w:bottom w:val="single" w:sz="4" w:space="0" w:color="auto"/>
              <w:right w:val="single" w:sz="8" w:space="0" w:color="auto"/>
            </w:tcBorders>
            <w:shd w:val="clear" w:color="auto" w:fill="auto"/>
            <w:noWrap/>
            <w:vAlign w:val="center"/>
            <w:hideMark/>
          </w:tcPr>
          <w:p w14:paraId="28AE46AC" w14:textId="77777777" w:rsidR="00C726D9" w:rsidRPr="00C726D9" w:rsidRDefault="00C726D9" w:rsidP="00C726D9">
            <w:pPr>
              <w:spacing w:after="0" w:line="240" w:lineRule="auto"/>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23.11</w:t>
            </w:r>
          </w:p>
        </w:tc>
      </w:tr>
      <w:tr w:rsidR="00C726D9" w:rsidRPr="00C726D9" w14:paraId="65E795D2" w14:textId="77777777" w:rsidTr="00C726D9">
        <w:trPr>
          <w:trHeight w:val="360"/>
          <w:jc w:val="center"/>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073F2505" w14:textId="77777777" w:rsidR="00C726D9" w:rsidRPr="00C726D9" w:rsidRDefault="00C726D9" w:rsidP="00C726D9">
            <w:pPr>
              <w:spacing w:after="0" w:line="240" w:lineRule="auto"/>
              <w:jc w:val="lef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Equipo De Defensa Y Seguridad</w:t>
            </w:r>
          </w:p>
        </w:tc>
        <w:tc>
          <w:tcPr>
            <w:tcW w:w="1600" w:type="dxa"/>
            <w:tcBorders>
              <w:top w:val="nil"/>
              <w:left w:val="nil"/>
              <w:bottom w:val="single" w:sz="8" w:space="0" w:color="auto"/>
              <w:right w:val="nil"/>
            </w:tcBorders>
            <w:shd w:val="clear" w:color="auto" w:fill="auto"/>
            <w:noWrap/>
            <w:vAlign w:val="center"/>
            <w:hideMark/>
          </w:tcPr>
          <w:p w14:paraId="1C7BE232"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116,939,943</w:t>
            </w:r>
          </w:p>
        </w:tc>
        <w:tc>
          <w:tcPr>
            <w:tcW w:w="1480" w:type="dxa"/>
            <w:tcBorders>
              <w:top w:val="nil"/>
              <w:left w:val="single" w:sz="8" w:space="0" w:color="auto"/>
              <w:bottom w:val="single" w:sz="4" w:space="0" w:color="auto"/>
              <w:right w:val="single" w:sz="8" w:space="0" w:color="auto"/>
            </w:tcBorders>
            <w:shd w:val="clear" w:color="auto" w:fill="auto"/>
            <w:noWrap/>
            <w:vAlign w:val="center"/>
            <w:hideMark/>
          </w:tcPr>
          <w:p w14:paraId="57A1668A" w14:textId="77777777" w:rsidR="00C726D9" w:rsidRPr="00C726D9" w:rsidRDefault="00C726D9" w:rsidP="00C726D9">
            <w:pPr>
              <w:spacing w:after="0" w:line="240" w:lineRule="auto"/>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3.04</w:t>
            </w:r>
          </w:p>
        </w:tc>
      </w:tr>
      <w:tr w:rsidR="00C726D9" w:rsidRPr="00C726D9" w14:paraId="061B4AB6" w14:textId="77777777" w:rsidTr="00C726D9">
        <w:trPr>
          <w:trHeight w:val="360"/>
          <w:jc w:val="center"/>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006B8364" w14:textId="77777777" w:rsidR="00C726D9" w:rsidRPr="00C726D9" w:rsidRDefault="00C726D9" w:rsidP="00C726D9">
            <w:pPr>
              <w:spacing w:after="0" w:line="240" w:lineRule="auto"/>
              <w:jc w:val="lef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Maquinaria, Otros Equipos Y Herramientas</w:t>
            </w:r>
          </w:p>
        </w:tc>
        <w:tc>
          <w:tcPr>
            <w:tcW w:w="1600" w:type="dxa"/>
            <w:tcBorders>
              <w:top w:val="nil"/>
              <w:left w:val="nil"/>
              <w:bottom w:val="single" w:sz="8" w:space="0" w:color="auto"/>
              <w:right w:val="nil"/>
            </w:tcBorders>
            <w:shd w:val="clear" w:color="auto" w:fill="auto"/>
            <w:noWrap/>
            <w:vAlign w:val="center"/>
            <w:hideMark/>
          </w:tcPr>
          <w:p w14:paraId="379C4E99"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810,140,650</w:t>
            </w:r>
          </w:p>
        </w:tc>
        <w:tc>
          <w:tcPr>
            <w:tcW w:w="1480" w:type="dxa"/>
            <w:tcBorders>
              <w:top w:val="nil"/>
              <w:left w:val="single" w:sz="8" w:space="0" w:color="auto"/>
              <w:bottom w:val="single" w:sz="4" w:space="0" w:color="auto"/>
              <w:right w:val="single" w:sz="8" w:space="0" w:color="auto"/>
            </w:tcBorders>
            <w:shd w:val="clear" w:color="auto" w:fill="auto"/>
            <w:noWrap/>
            <w:vAlign w:val="center"/>
            <w:hideMark/>
          </w:tcPr>
          <w:p w14:paraId="02801110" w14:textId="77777777" w:rsidR="00C726D9" w:rsidRPr="00C726D9" w:rsidRDefault="00C726D9" w:rsidP="00C726D9">
            <w:pPr>
              <w:spacing w:after="0" w:line="240" w:lineRule="auto"/>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21.08</w:t>
            </w:r>
          </w:p>
        </w:tc>
      </w:tr>
      <w:tr w:rsidR="00C726D9" w:rsidRPr="00C726D9" w14:paraId="2BD93521" w14:textId="77777777" w:rsidTr="00C726D9">
        <w:trPr>
          <w:trHeight w:val="540"/>
          <w:jc w:val="center"/>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600DEEED" w14:textId="77777777" w:rsidR="00C726D9" w:rsidRPr="00C726D9" w:rsidRDefault="00C726D9" w:rsidP="00C726D9">
            <w:pPr>
              <w:spacing w:after="0" w:line="240" w:lineRule="auto"/>
              <w:jc w:val="lef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Colecciones, Obras De Arte Y Objetos Valiosos</w:t>
            </w:r>
          </w:p>
        </w:tc>
        <w:tc>
          <w:tcPr>
            <w:tcW w:w="1600" w:type="dxa"/>
            <w:tcBorders>
              <w:top w:val="nil"/>
              <w:left w:val="nil"/>
              <w:bottom w:val="single" w:sz="8" w:space="0" w:color="auto"/>
              <w:right w:val="nil"/>
            </w:tcBorders>
            <w:shd w:val="clear" w:color="auto" w:fill="auto"/>
            <w:noWrap/>
            <w:vAlign w:val="center"/>
            <w:hideMark/>
          </w:tcPr>
          <w:p w14:paraId="1193DD85"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4,582,407</w:t>
            </w:r>
          </w:p>
        </w:tc>
        <w:tc>
          <w:tcPr>
            <w:tcW w:w="1480" w:type="dxa"/>
            <w:tcBorders>
              <w:top w:val="nil"/>
              <w:left w:val="single" w:sz="8" w:space="0" w:color="auto"/>
              <w:bottom w:val="single" w:sz="4" w:space="0" w:color="auto"/>
              <w:right w:val="single" w:sz="8" w:space="0" w:color="auto"/>
            </w:tcBorders>
            <w:shd w:val="clear" w:color="auto" w:fill="auto"/>
            <w:noWrap/>
            <w:vAlign w:val="center"/>
            <w:hideMark/>
          </w:tcPr>
          <w:p w14:paraId="70A6034B" w14:textId="77777777" w:rsidR="00C726D9" w:rsidRPr="00C726D9" w:rsidRDefault="00C726D9" w:rsidP="00C726D9">
            <w:pPr>
              <w:spacing w:after="0" w:line="240" w:lineRule="auto"/>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0.12</w:t>
            </w:r>
          </w:p>
        </w:tc>
      </w:tr>
      <w:tr w:rsidR="00C726D9" w:rsidRPr="00C726D9" w14:paraId="1E492D8D" w14:textId="77777777" w:rsidTr="00C726D9">
        <w:trPr>
          <w:trHeight w:val="360"/>
          <w:jc w:val="center"/>
        </w:trPr>
        <w:tc>
          <w:tcPr>
            <w:tcW w:w="3940" w:type="dxa"/>
            <w:tcBorders>
              <w:top w:val="nil"/>
              <w:left w:val="single" w:sz="8" w:space="0" w:color="auto"/>
              <w:bottom w:val="nil"/>
              <w:right w:val="single" w:sz="8" w:space="0" w:color="auto"/>
            </w:tcBorders>
            <w:shd w:val="clear" w:color="auto" w:fill="auto"/>
            <w:vAlign w:val="center"/>
            <w:hideMark/>
          </w:tcPr>
          <w:p w14:paraId="46D80795" w14:textId="77777777" w:rsidR="00C726D9" w:rsidRPr="00C726D9" w:rsidRDefault="00C726D9" w:rsidP="00C726D9">
            <w:pPr>
              <w:spacing w:after="0" w:line="240" w:lineRule="auto"/>
              <w:jc w:val="lef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Activos Biológicos</w:t>
            </w:r>
          </w:p>
        </w:tc>
        <w:tc>
          <w:tcPr>
            <w:tcW w:w="1600" w:type="dxa"/>
            <w:tcBorders>
              <w:top w:val="nil"/>
              <w:left w:val="nil"/>
              <w:bottom w:val="nil"/>
              <w:right w:val="nil"/>
            </w:tcBorders>
            <w:shd w:val="clear" w:color="auto" w:fill="auto"/>
            <w:noWrap/>
            <w:vAlign w:val="center"/>
            <w:hideMark/>
          </w:tcPr>
          <w:p w14:paraId="68A7BBBD"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22,325,780</w:t>
            </w:r>
          </w:p>
        </w:tc>
        <w:tc>
          <w:tcPr>
            <w:tcW w:w="1480" w:type="dxa"/>
            <w:tcBorders>
              <w:top w:val="nil"/>
              <w:left w:val="single" w:sz="8" w:space="0" w:color="auto"/>
              <w:bottom w:val="nil"/>
              <w:right w:val="single" w:sz="8" w:space="0" w:color="auto"/>
            </w:tcBorders>
            <w:shd w:val="clear" w:color="auto" w:fill="auto"/>
            <w:noWrap/>
            <w:vAlign w:val="center"/>
            <w:hideMark/>
          </w:tcPr>
          <w:p w14:paraId="05DA2EFC" w14:textId="77777777" w:rsidR="00C726D9" w:rsidRPr="00C726D9" w:rsidRDefault="00C726D9" w:rsidP="00C726D9">
            <w:pPr>
              <w:spacing w:after="0" w:line="240" w:lineRule="auto"/>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0.58</w:t>
            </w:r>
          </w:p>
        </w:tc>
      </w:tr>
      <w:tr w:rsidR="00C726D9" w:rsidRPr="00C726D9" w14:paraId="2D555E2E" w14:textId="77777777" w:rsidTr="00C726D9">
        <w:trPr>
          <w:trHeight w:val="360"/>
          <w:jc w:val="center"/>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652FF1" w14:textId="77777777" w:rsidR="00C726D9" w:rsidRPr="00C726D9" w:rsidRDefault="00C726D9" w:rsidP="00C726D9">
            <w:pPr>
              <w:spacing w:after="0" w:line="240" w:lineRule="auto"/>
              <w:jc w:val="left"/>
              <w:rPr>
                <w:rFonts w:ascii="Arial" w:eastAsia="Times New Roman" w:hAnsi="Arial" w:cs="Arial"/>
                <w:b/>
                <w:bCs/>
                <w:color w:val="000000"/>
                <w:sz w:val="20"/>
                <w:szCs w:val="20"/>
                <w:lang w:eastAsia="es-MX"/>
              </w:rPr>
            </w:pPr>
            <w:r w:rsidRPr="00C726D9">
              <w:rPr>
                <w:rFonts w:ascii="Arial" w:eastAsia="Times New Roman" w:hAnsi="Arial" w:cs="Arial"/>
                <w:b/>
                <w:bCs/>
                <w:color w:val="000000"/>
                <w:sz w:val="20"/>
                <w:szCs w:val="20"/>
                <w:lang w:eastAsia="es-MX"/>
              </w:rPr>
              <w:t>Total de Bienes Muebles</w:t>
            </w:r>
          </w:p>
        </w:tc>
        <w:tc>
          <w:tcPr>
            <w:tcW w:w="1600" w:type="dxa"/>
            <w:tcBorders>
              <w:top w:val="single" w:sz="8" w:space="0" w:color="auto"/>
              <w:left w:val="nil"/>
              <w:bottom w:val="single" w:sz="8" w:space="0" w:color="auto"/>
              <w:right w:val="nil"/>
            </w:tcBorders>
            <w:shd w:val="clear" w:color="auto" w:fill="auto"/>
            <w:noWrap/>
            <w:vAlign w:val="center"/>
            <w:hideMark/>
          </w:tcPr>
          <w:p w14:paraId="5CED39D1" w14:textId="77777777" w:rsidR="00C726D9" w:rsidRPr="00C726D9" w:rsidRDefault="00C726D9" w:rsidP="00C726D9">
            <w:pPr>
              <w:spacing w:after="0" w:line="240" w:lineRule="auto"/>
              <w:jc w:val="right"/>
              <w:rPr>
                <w:rFonts w:ascii="Arial" w:eastAsia="Times New Roman" w:hAnsi="Arial" w:cs="Arial"/>
                <w:b/>
                <w:bCs/>
                <w:color w:val="000000"/>
                <w:sz w:val="20"/>
                <w:szCs w:val="20"/>
                <w:lang w:eastAsia="es-MX"/>
              </w:rPr>
            </w:pPr>
            <w:r w:rsidRPr="00C726D9">
              <w:rPr>
                <w:rFonts w:ascii="Arial" w:eastAsia="Times New Roman" w:hAnsi="Arial" w:cs="Arial"/>
                <w:b/>
                <w:bCs/>
                <w:color w:val="000000"/>
                <w:sz w:val="20"/>
                <w:szCs w:val="20"/>
                <w:lang w:eastAsia="es-MX"/>
              </w:rPr>
              <w:t>3,842,811,452</w:t>
            </w:r>
          </w:p>
        </w:tc>
        <w:tc>
          <w:tcPr>
            <w:tcW w:w="14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CFFE24" w14:textId="77777777" w:rsidR="00C726D9" w:rsidRPr="00C726D9" w:rsidRDefault="00C726D9" w:rsidP="00C726D9">
            <w:pPr>
              <w:spacing w:after="0" w:line="240" w:lineRule="auto"/>
              <w:rPr>
                <w:rFonts w:ascii="Arial" w:eastAsia="Times New Roman" w:hAnsi="Arial" w:cs="Arial"/>
                <w:b/>
                <w:bCs/>
                <w:color w:val="000000"/>
                <w:sz w:val="20"/>
                <w:szCs w:val="20"/>
                <w:lang w:eastAsia="es-MX"/>
              </w:rPr>
            </w:pPr>
            <w:r w:rsidRPr="00C726D9">
              <w:rPr>
                <w:rFonts w:ascii="Arial" w:eastAsia="Times New Roman" w:hAnsi="Arial" w:cs="Arial"/>
                <w:b/>
                <w:bCs/>
                <w:color w:val="000000"/>
                <w:sz w:val="20"/>
                <w:szCs w:val="20"/>
                <w:lang w:eastAsia="es-MX"/>
              </w:rPr>
              <w:t>100</w:t>
            </w:r>
          </w:p>
        </w:tc>
      </w:tr>
    </w:tbl>
    <w:p w14:paraId="3E81E411" w14:textId="77777777" w:rsidR="00C726D9" w:rsidRPr="00CA34F5" w:rsidRDefault="00C726D9" w:rsidP="00031734">
      <w:pPr>
        <w:spacing w:after="0" w:line="240" w:lineRule="auto"/>
        <w:jc w:val="left"/>
        <w:rPr>
          <w:rFonts w:ascii="Arial" w:hAnsi="Arial" w:cs="Arial"/>
          <w:b/>
          <w:u w:val="single"/>
        </w:rPr>
      </w:pPr>
    </w:p>
    <w:p w14:paraId="41B48CD3" w14:textId="77777777" w:rsidR="006D76A3" w:rsidRDefault="006D76A3" w:rsidP="006D76A3">
      <w:pPr>
        <w:spacing w:after="0" w:line="240" w:lineRule="auto"/>
        <w:rPr>
          <w:rFonts w:ascii="Arial" w:hAnsi="Arial" w:cs="Arial"/>
          <w:b/>
          <w:u w:val="single"/>
        </w:rPr>
      </w:pPr>
    </w:p>
    <w:p w14:paraId="2E4791C6" w14:textId="77777777" w:rsidR="00C726D9" w:rsidRDefault="00C726D9" w:rsidP="006D76A3">
      <w:pPr>
        <w:spacing w:after="0" w:line="240" w:lineRule="auto"/>
        <w:rPr>
          <w:rFonts w:ascii="Arial" w:hAnsi="Arial" w:cs="Arial"/>
          <w:b/>
          <w:u w:val="single"/>
        </w:rPr>
      </w:pPr>
    </w:p>
    <w:p w14:paraId="0AB03386" w14:textId="77777777" w:rsidR="00C726D9" w:rsidRDefault="00C726D9" w:rsidP="006D76A3">
      <w:pPr>
        <w:spacing w:after="0" w:line="240" w:lineRule="auto"/>
        <w:rPr>
          <w:rFonts w:ascii="Arial" w:hAnsi="Arial" w:cs="Arial"/>
          <w:b/>
          <w:u w:val="single"/>
        </w:rPr>
      </w:pPr>
    </w:p>
    <w:p w14:paraId="5862FD74" w14:textId="77777777" w:rsidR="00C726D9" w:rsidRDefault="00C726D9" w:rsidP="001041DB">
      <w:pPr>
        <w:spacing w:after="0" w:line="240" w:lineRule="auto"/>
        <w:jc w:val="both"/>
        <w:rPr>
          <w:rFonts w:ascii="Arial" w:hAnsi="Arial" w:cs="Arial"/>
          <w:b/>
          <w:u w:val="single"/>
        </w:rPr>
      </w:pPr>
    </w:p>
    <w:p w14:paraId="2597F358" w14:textId="22AF96C3" w:rsidR="001041DB" w:rsidRPr="00CA34F5" w:rsidRDefault="00497847" w:rsidP="001041DB">
      <w:pPr>
        <w:spacing w:after="0" w:line="240" w:lineRule="auto"/>
        <w:jc w:val="both"/>
        <w:rPr>
          <w:rFonts w:ascii="Arial" w:hAnsi="Arial" w:cs="Arial"/>
          <w:b/>
          <w:u w:val="single"/>
        </w:rPr>
      </w:pPr>
      <w:r w:rsidRPr="00CA34F5">
        <w:rPr>
          <w:rFonts w:ascii="Arial" w:hAnsi="Arial" w:cs="Arial"/>
          <w:b/>
          <w:u w:val="single"/>
        </w:rPr>
        <w:t>Bienes Intangibles</w:t>
      </w:r>
      <w:r w:rsidR="005A17A9" w:rsidRPr="00CA34F5">
        <w:rPr>
          <w:rFonts w:ascii="Arial" w:hAnsi="Arial" w:cs="Arial"/>
          <w:b/>
          <w:u w:val="single"/>
        </w:rPr>
        <w:t xml:space="preserve">     </w:t>
      </w:r>
    </w:p>
    <w:p w14:paraId="45377CE6" w14:textId="77777777" w:rsidR="006D76A3" w:rsidRPr="00CA34F5" w:rsidRDefault="006D76A3" w:rsidP="001041DB">
      <w:pPr>
        <w:spacing w:after="0" w:line="240" w:lineRule="auto"/>
        <w:jc w:val="both"/>
        <w:rPr>
          <w:rFonts w:ascii="Arial" w:hAnsi="Arial" w:cs="Arial"/>
          <w:b/>
          <w:u w:val="single"/>
        </w:rPr>
      </w:pPr>
    </w:p>
    <w:p w14:paraId="39B87C5D" w14:textId="77777777" w:rsidR="006D76A3" w:rsidRDefault="006D76A3" w:rsidP="006D76A3">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El saldo de este rubro se integra como sigue:</w:t>
      </w:r>
    </w:p>
    <w:p w14:paraId="68A24379" w14:textId="77777777" w:rsidR="00C726D9" w:rsidRPr="00CA34F5" w:rsidRDefault="00C726D9" w:rsidP="006D76A3">
      <w:pPr>
        <w:spacing w:after="0" w:line="240" w:lineRule="auto"/>
        <w:jc w:val="both"/>
        <w:rPr>
          <w:rFonts w:ascii="Arial" w:eastAsia="Times New Roman" w:hAnsi="Arial" w:cs="Arial"/>
          <w:color w:val="000000"/>
          <w:lang w:eastAsia="es-MX"/>
        </w:rPr>
      </w:pPr>
    </w:p>
    <w:p w14:paraId="7CBF5705" w14:textId="77777777" w:rsidR="006D76A3" w:rsidRPr="00CA34F5" w:rsidRDefault="006D76A3" w:rsidP="001041DB">
      <w:pPr>
        <w:spacing w:after="0" w:line="240" w:lineRule="auto"/>
        <w:jc w:val="both"/>
        <w:rPr>
          <w:rFonts w:ascii="Arial" w:hAnsi="Arial" w:cs="Arial"/>
          <w:b/>
          <w:u w:val="single"/>
        </w:rPr>
      </w:pPr>
    </w:p>
    <w:tbl>
      <w:tblPr>
        <w:tblW w:w="7020" w:type="dxa"/>
        <w:jc w:val="center"/>
        <w:tblCellMar>
          <w:left w:w="70" w:type="dxa"/>
          <w:right w:w="70" w:type="dxa"/>
        </w:tblCellMar>
        <w:tblLook w:val="04A0" w:firstRow="1" w:lastRow="0" w:firstColumn="1" w:lastColumn="0" w:noHBand="0" w:noVBand="1"/>
      </w:tblPr>
      <w:tblGrid>
        <w:gridCol w:w="3940"/>
        <w:gridCol w:w="1600"/>
        <w:gridCol w:w="1480"/>
      </w:tblGrid>
      <w:tr w:rsidR="00C726D9" w:rsidRPr="00C726D9" w14:paraId="09CD944A" w14:textId="77777777" w:rsidTr="00C726D9">
        <w:trPr>
          <w:trHeight w:val="582"/>
          <w:jc w:val="center"/>
        </w:trPr>
        <w:tc>
          <w:tcPr>
            <w:tcW w:w="394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558AC141" w14:textId="77777777" w:rsidR="00C726D9" w:rsidRPr="00C726D9" w:rsidRDefault="00C726D9" w:rsidP="00C726D9">
            <w:pPr>
              <w:spacing w:after="0" w:line="240" w:lineRule="auto"/>
              <w:rPr>
                <w:rFonts w:ascii="Arial" w:eastAsia="Times New Roman" w:hAnsi="Arial" w:cs="Arial"/>
                <w:b/>
                <w:bCs/>
                <w:color w:val="000000"/>
                <w:sz w:val="20"/>
                <w:szCs w:val="20"/>
                <w:lang w:eastAsia="es-MX"/>
              </w:rPr>
            </w:pPr>
            <w:r w:rsidRPr="00C726D9">
              <w:rPr>
                <w:rFonts w:ascii="Arial" w:eastAsia="Times New Roman" w:hAnsi="Arial" w:cs="Arial"/>
                <w:b/>
                <w:bCs/>
                <w:color w:val="000000"/>
                <w:sz w:val="20"/>
                <w:szCs w:val="20"/>
                <w:lang w:eastAsia="es-MX"/>
              </w:rPr>
              <w:t>Concepto</w:t>
            </w:r>
          </w:p>
        </w:tc>
        <w:tc>
          <w:tcPr>
            <w:tcW w:w="1600" w:type="dxa"/>
            <w:tcBorders>
              <w:top w:val="single" w:sz="8" w:space="0" w:color="auto"/>
              <w:left w:val="nil"/>
              <w:bottom w:val="nil"/>
              <w:right w:val="single" w:sz="8" w:space="0" w:color="auto"/>
            </w:tcBorders>
            <w:shd w:val="clear" w:color="000000" w:fill="D0CECE"/>
            <w:noWrap/>
            <w:vAlign w:val="center"/>
            <w:hideMark/>
          </w:tcPr>
          <w:p w14:paraId="4724BDD1" w14:textId="77777777" w:rsidR="00C726D9" w:rsidRPr="00C726D9" w:rsidRDefault="00C726D9" w:rsidP="00C726D9">
            <w:pPr>
              <w:spacing w:after="0" w:line="240" w:lineRule="auto"/>
              <w:rPr>
                <w:rFonts w:ascii="Arial" w:eastAsia="Times New Roman" w:hAnsi="Arial" w:cs="Arial"/>
                <w:b/>
                <w:bCs/>
                <w:color w:val="000000"/>
                <w:sz w:val="20"/>
                <w:szCs w:val="20"/>
                <w:lang w:eastAsia="es-MX"/>
              </w:rPr>
            </w:pPr>
            <w:r w:rsidRPr="00C726D9">
              <w:rPr>
                <w:rFonts w:ascii="Arial" w:eastAsia="Times New Roman" w:hAnsi="Arial" w:cs="Arial"/>
                <w:b/>
                <w:bCs/>
                <w:color w:val="000000"/>
                <w:sz w:val="20"/>
                <w:szCs w:val="20"/>
                <w:lang w:eastAsia="es-MX"/>
              </w:rPr>
              <w:t xml:space="preserve"> Importe </w:t>
            </w:r>
          </w:p>
        </w:tc>
        <w:tc>
          <w:tcPr>
            <w:tcW w:w="1480" w:type="dxa"/>
            <w:tcBorders>
              <w:top w:val="single" w:sz="8" w:space="0" w:color="auto"/>
              <w:left w:val="nil"/>
              <w:bottom w:val="nil"/>
              <w:right w:val="single" w:sz="8" w:space="0" w:color="auto"/>
            </w:tcBorders>
            <w:shd w:val="clear" w:color="000000" w:fill="D0CECE"/>
            <w:noWrap/>
            <w:vAlign w:val="center"/>
            <w:hideMark/>
          </w:tcPr>
          <w:p w14:paraId="6792E7A5" w14:textId="77777777" w:rsidR="00C726D9" w:rsidRPr="00C726D9" w:rsidRDefault="00C726D9" w:rsidP="00C726D9">
            <w:pPr>
              <w:spacing w:after="0" w:line="240" w:lineRule="auto"/>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w:t>
            </w:r>
          </w:p>
        </w:tc>
      </w:tr>
      <w:tr w:rsidR="00C726D9" w:rsidRPr="00C726D9" w14:paraId="3A6CBAE2" w14:textId="77777777" w:rsidTr="00C726D9">
        <w:trPr>
          <w:trHeight w:val="360"/>
          <w:jc w:val="center"/>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2EBE8B37" w14:textId="77777777" w:rsidR="00C726D9" w:rsidRPr="00C726D9" w:rsidRDefault="00C726D9" w:rsidP="00C726D9">
            <w:pPr>
              <w:spacing w:after="0" w:line="240" w:lineRule="auto"/>
              <w:jc w:val="lef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Software</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14:paraId="5EEF7686"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176,127,376</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14:paraId="23A2DFB4" w14:textId="77777777" w:rsidR="00C726D9" w:rsidRPr="00C726D9" w:rsidRDefault="00C726D9" w:rsidP="00C726D9">
            <w:pPr>
              <w:spacing w:after="0" w:line="240" w:lineRule="auto"/>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74.40</w:t>
            </w:r>
          </w:p>
        </w:tc>
      </w:tr>
      <w:tr w:rsidR="00C726D9" w:rsidRPr="00C726D9" w14:paraId="16EDE02F" w14:textId="77777777" w:rsidTr="00C726D9">
        <w:trPr>
          <w:trHeight w:val="360"/>
          <w:jc w:val="center"/>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784A364E" w14:textId="77777777" w:rsidR="00C726D9" w:rsidRPr="00C726D9" w:rsidRDefault="00C726D9" w:rsidP="00C726D9">
            <w:pPr>
              <w:spacing w:after="0" w:line="240" w:lineRule="auto"/>
              <w:jc w:val="lef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Patentes, Marcas Y Derechos</w:t>
            </w:r>
          </w:p>
        </w:tc>
        <w:tc>
          <w:tcPr>
            <w:tcW w:w="1600" w:type="dxa"/>
            <w:tcBorders>
              <w:top w:val="nil"/>
              <w:left w:val="nil"/>
              <w:bottom w:val="single" w:sz="8" w:space="0" w:color="auto"/>
              <w:right w:val="single" w:sz="8" w:space="0" w:color="auto"/>
            </w:tcBorders>
            <w:shd w:val="clear" w:color="auto" w:fill="auto"/>
            <w:noWrap/>
            <w:vAlign w:val="center"/>
            <w:hideMark/>
          </w:tcPr>
          <w:p w14:paraId="5212561B"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191,197</w:t>
            </w:r>
          </w:p>
        </w:tc>
        <w:tc>
          <w:tcPr>
            <w:tcW w:w="1480" w:type="dxa"/>
            <w:tcBorders>
              <w:top w:val="nil"/>
              <w:left w:val="nil"/>
              <w:bottom w:val="single" w:sz="8" w:space="0" w:color="auto"/>
              <w:right w:val="single" w:sz="8" w:space="0" w:color="auto"/>
            </w:tcBorders>
            <w:shd w:val="clear" w:color="auto" w:fill="auto"/>
            <w:noWrap/>
            <w:vAlign w:val="center"/>
            <w:hideMark/>
          </w:tcPr>
          <w:p w14:paraId="247E28BF" w14:textId="77777777" w:rsidR="00C726D9" w:rsidRPr="00C726D9" w:rsidRDefault="00C726D9" w:rsidP="00C726D9">
            <w:pPr>
              <w:spacing w:after="0" w:line="240" w:lineRule="auto"/>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0.08</w:t>
            </w:r>
          </w:p>
        </w:tc>
      </w:tr>
      <w:tr w:rsidR="00C726D9" w:rsidRPr="00C726D9" w14:paraId="644EA352" w14:textId="77777777" w:rsidTr="00C726D9">
        <w:trPr>
          <w:trHeight w:val="360"/>
          <w:jc w:val="center"/>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3EBE38C6" w14:textId="77777777" w:rsidR="00C726D9" w:rsidRPr="00C726D9" w:rsidRDefault="00C726D9" w:rsidP="00C726D9">
            <w:pPr>
              <w:spacing w:after="0" w:line="240" w:lineRule="auto"/>
              <w:jc w:val="lef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Licencias</w:t>
            </w:r>
          </w:p>
        </w:tc>
        <w:tc>
          <w:tcPr>
            <w:tcW w:w="1600" w:type="dxa"/>
            <w:tcBorders>
              <w:top w:val="nil"/>
              <w:left w:val="nil"/>
              <w:bottom w:val="single" w:sz="8" w:space="0" w:color="auto"/>
              <w:right w:val="single" w:sz="8" w:space="0" w:color="auto"/>
            </w:tcBorders>
            <w:shd w:val="clear" w:color="auto" w:fill="auto"/>
            <w:noWrap/>
            <w:vAlign w:val="center"/>
            <w:hideMark/>
          </w:tcPr>
          <w:p w14:paraId="2294EBA2" w14:textId="77777777" w:rsidR="00C726D9" w:rsidRPr="00C726D9" w:rsidRDefault="00C726D9" w:rsidP="00C726D9">
            <w:pPr>
              <w:spacing w:after="0" w:line="240" w:lineRule="auto"/>
              <w:jc w:val="right"/>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60,422,273</w:t>
            </w:r>
          </w:p>
        </w:tc>
        <w:tc>
          <w:tcPr>
            <w:tcW w:w="1480" w:type="dxa"/>
            <w:tcBorders>
              <w:top w:val="nil"/>
              <w:left w:val="nil"/>
              <w:bottom w:val="single" w:sz="8" w:space="0" w:color="auto"/>
              <w:right w:val="single" w:sz="8" w:space="0" w:color="auto"/>
            </w:tcBorders>
            <w:shd w:val="clear" w:color="auto" w:fill="auto"/>
            <w:noWrap/>
            <w:vAlign w:val="center"/>
            <w:hideMark/>
          </w:tcPr>
          <w:p w14:paraId="46206850" w14:textId="77777777" w:rsidR="00C726D9" w:rsidRPr="00C726D9" w:rsidRDefault="00C726D9" w:rsidP="00C726D9">
            <w:pPr>
              <w:spacing w:after="0" w:line="240" w:lineRule="auto"/>
              <w:rPr>
                <w:rFonts w:ascii="Arial" w:eastAsia="Times New Roman" w:hAnsi="Arial" w:cs="Arial"/>
                <w:color w:val="000000"/>
                <w:sz w:val="20"/>
                <w:szCs w:val="20"/>
                <w:lang w:eastAsia="es-MX"/>
              </w:rPr>
            </w:pPr>
            <w:r w:rsidRPr="00C726D9">
              <w:rPr>
                <w:rFonts w:ascii="Arial" w:eastAsia="Times New Roman" w:hAnsi="Arial" w:cs="Arial"/>
                <w:color w:val="000000"/>
                <w:sz w:val="20"/>
                <w:szCs w:val="20"/>
                <w:lang w:eastAsia="es-MX"/>
              </w:rPr>
              <w:t>25.52</w:t>
            </w:r>
          </w:p>
        </w:tc>
      </w:tr>
      <w:tr w:rsidR="00C726D9" w:rsidRPr="00C726D9" w14:paraId="25E49D0F" w14:textId="77777777" w:rsidTr="00C726D9">
        <w:trPr>
          <w:trHeight w:val="582"/>
          <w:jc w:val="center"/>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37DC6DF6" w14:textId="77777777" w:rsidR="00C726D9" w:rsidRPr="00C726D9" w:rsidRDefault="00C726D9" w:rsidP="00C726D9">
            <w:pPr>
              <w:spacing w:after="0" w:line="240" w:lineRule="auto"/>
              <w:jc w:val="left"/>
              <w:rPr>
                <w:rFonts w:ascii="Arial" w:eastAsia="Times New Roman" w:hAnsi="Arial" w:cs="Arial"/>
                <w:b/>
                <w:bCs/>
                <w:color w:val="000000"/>
                <w:sz w:val="20"/>
                <w:szCs w:val="20"/>
                <w:lang w:eastAsia="es-MX"/>
              </w:rPr>
            </w:pPr>
            <w:r w:rsidRPr="00C726D9">
              <w:rPr>
                <w:rFonts w:ascii="Arial" w:eastAsia="Times New Roman" w:hAnsi="Arial" w:cs="Arial"/>
                <w:b/>
                <w:bCs/>
                <w:color w:val="000000"/>
                <w:sz w:val="20"/>
                <w:szCs w:val="20"/>
                <w:lang w:eastAsia="es-MX"/>
              </w:rPr>
              <w:t>Total de Bienes Intangibles</w:t>
            </w:r>
          </w:p>
        </w:tc>
        <w:tc>
          <w:tcPr>
            <w:tcW w:w="1600" w:type="dxa"/>
            <w:tcBorders>
              <w:top w:val="nil"/>
              <w:left w:val="nil"/>
              <w:bottom w:val="single" w:sz="8" w:space="0" w:color="auto"/>
              <w:right w:val="single" w:sz="8" w:space="0" w:color="auto"/>
            </w:tcBorders>
            <w:shd w:val="clear" w:color="auto" w:fill="auto"/>
            <w:noWrap/>
            <w:vAlign w:val="center"/>
            <w:hideMark/>
          </w:tcPr>
          <w:p w14:paraId="1E7342CC" w14:textId="77777777" w:rsidR="00C726D9" w:rsidRPr="00C726D9" w:rsidRDefault="00C726D9" w:rsidP="00C726D9">
            <w:pPr>
              <w:spacing w:after="0" w:line="240" w:lineRule="auto"/>
              <w:jc w:val="right"/>
              <w:rPr>
                <w:rFonts w:ascii="Arial" w:eastAsia="Times New Roman" w:hAnsi="Arial" w:cs="Arial"/>
                <w:b/>
                <w:bCs/>
                <w:color w:val="000000"/>
                <w:sz w:val="20"/>
                <w:szCs w:val="20"/>
                <w:lang w:eastAsia="es-MX"/>
              </w:rPr>
            </w:pPr>
            <w:r w:rsidRPr="00C726D9">
              <w:rPr>
                <w:rFonts w:ascii="Arial" w:eastAsia="Times New Roman" w:hAnsi="Arial" w:cs="Arial"/>
                <w:b/>
                <w:bCs/>
                <w:color w:val="000000"/>
                <w:sz w:val="20"/>
                <w:szCs w:val="20"/>
                <w:lang w:eastAsia="es-MX"/>
              </w:rPr>
              <w:t>236,740,845</w:t>
            </w:r>
          </w:p>
        </w:tc>
        <w:tc>
          <w:tcPr>
            <w:tcW w:w="1480" w:type="dxa"/>
            <w:tcBorders>
              <w:top w:val="nil"/>
              <w:left w:val="nil"/>
              <w:bottom w:val="single" w:sz="8" w:space="0" w:color="auto"/>
              <w:right w:val="single" w:sz="8" w:space="0" w:color="auto"/>
            </w:tcBorders>
            <w:shd w:val="clear" w:color="auto" w:fill="auto"/>
            <w:noWrap/>
            <w:vAlign w:val="center"/>
            <w:hideMark/>
          </w:tcPr>
          <w:p w14:paraId="46D64A13" w14:textId="77777777" w:rsidR="00C726D9" w:rsidRPr="00C726D9" w:rsidRDefault="00C726D9" w:rsidP="00C726D9">
            <w:pPr>
              <w:spacing w:after="0" w:line="240" w:lineRule="auto"/>
              <w:rPr>
                <w:rFonts w:ascii="Arial" w:eastAsia="Times New Roman" w:hAnsi="Arial" w:cs="Arial"/>
                <w:b/>
                <w:bCs/>
                <w:color w:val="000000"/>
                <w:sz w:val="20"/>
                <w:szCs w:val="20"/>
                <w:lang w:eastAsia="es-MX"/>
              </w:rPr>
            </w:pPr>
            <w:r w:rsidRPr="00C726D9">
              <w:rPr>
                <w:rFonts w:ascii="Arial" w:eastAsia="Times New Roman" w:hAnsi="Arial" w:cs="Arial"/>
                <w:b/>
                <w:bCs/>
                <w:color w:val="000000"/>
                <w:sz w:val="20"/>
                <w:szCs w:val="20"/>
                <w:lang w:eastAsia="es-MX"/>
              </w:rPr>
              <w:t>100</w:t>
            </w:r>
          </w:p>
        </w:tc>
      </w:tr>
    </w:tbl>
    <w:p w14:paraId="02B9E045" w14:textId="77777777" w:rsidR="008718B3" w:rsidRPr="00CA34F5" w:rsidRDefault="008718B3" w:rsidP="000A4C31">
      <w:pPr>
        <w:spacing w:line="240" w:lineRule="auto"/>
        <w:jc w:val="both"/>
        <w:rPr>
          <w:rFonts w:ascii="Arial" w:hAnsi="Arial" w:cs="Arial"/>
        </w:rPr>
      </w:pPr>
    </w:p>
    <w:p w14:paraId="62F8B7CB" w14:textId="11BF8BE3" w:rsidR="00A63526" w:rsidRPr="00CA34F5" w:rsidRDefault="006E1D2E" w:rsidP="000A4C31">
      <w:pPr>
        <w:spacing w:line="240" w:lineRule="auto"/>
        <w:jc w:val="both"/>
        <w:rPr>
          <w:rFonts w:ascii="Arial" w:hAnsi="Arial" w:cs="Arial"/>
        </w:rPr>
      </w:pPr>
      <w:r w:rsidRPr="00CA34F5">
        <w:rPr>
          <w:rFonts w:ascii="Arial" w:hAnsi="Arial" w:cs="Arial"/>
        </w:rPr>
        <w:lastRenderedPageBreak/>
        <w:t>Saldos</w:t>
      </w:r>
      <w:r w:rsidR="00EA1B30" w:rsidRPr="00CA34F5">
        <w:rPr>
          <w:rFonts w:ascii="Arial" w:hAnsi="Arial" w:cs="Arial"/>
        </w:rPr>
        <w:t xml:space="preserve"> de Bienes Muebles, Inmuebles e Intangibles</w:t>
      </w:r>
      <w:r w:rsidR="0022664E" w:rsidRPr="00CA34F5">
        <w:rPr>
          <w:rFonts w:ascii="Arial" w:hAnsi="Arial" w:cs="Arial"/>
        </w:rPr>
        <w:t xml:space="preserve"> conciliados</w:t>
      </w:r>
      <w:r w:rsidRPr="00CA34F5">
        <w:rPr>
          <w:rFonts w:ascii="Arial" w:hAnsi="Arial" w:cs="Arial"/>
        </w:rPr>
        <w:t xml:space="preserve"> con las Dependencias y </w:t>
      </w:r>
      <w:r w:rsidR="007D6E51" w:rsidRPr="00CA34F5">
        <w:rPr>
          <w:rFonts w:ascii="Arial" w:hAnsi="Arial" w:cs="Arial"/>
        </w:rPr>
        <w:t>Órganos Desconcentrados sin RFC; s</w:t>
      </w:r>
      <w:r w:rsidR="0079441A" w:rsidRPr="00CA34F5">
        <w:rPr>
          <w:rFonts w:ascii="Arial" w:hAnsi="Arial" w:cs="Arial"/>
        </w:rPr>
        <w:t xml:space="preserve">e continúa dando seguimiento para el adecuado registro contable de los bienes adquiridos. </w:t>
      </w:r>
    </w:p>
    <w:p w14:paraId="4F03944B" w14:textId="77777777" w:rsidR="0054333F" w:rsidRPr="00CA34F5" w:rsidRDefault="0054333F" w:rsidP="000A4C31">
      <w:pPr>
        <w:spacing w:line="240" w:lineRule="auto"/>
        <w:jc w:val="both"/>
        <w:rPr>
          <w:rFonts w:ascii="Arial" w:hAnsi="Arial" w:cs="Arial"/>
        </w:rPr>
      </w:pPr>
    </w:p>
    <w:p w14:paraId="4E058564" w14:textId="151EDF92" w:rsidR="001041DB" w:rsidRPr="00CA34F5" w:rsidRDefault="0043693E" w:rsidP="001041DB">
      <w:pPr>
        <w:spacing w:after="0" w:line="240" w:lineRule="auto"/>
        <w:jc w:val="both"/>
        <w:rPr>
          <w:rFonts w:ascii="Arial" w:hAnsi="Arial" w:cs="Arial"/>
          <w:b/>
          <w:u w:val="single"/>
        </w:rPr>
      </w:pPr>
      <w:r w:rsidRPr="00CA34F5">
        <w:rPr>
          <w:rFonts w:ascii="Arial" w:hAnsi="Arial" w:cs="Arial"/>
          <w:b/>
          <w:u w:val="single"/>
        </w:rPr>
        <w:t>Depreciación</w:t>
      </w:r>
      <w:r w:rsidR="00EA32DC" w:rsidRPr="00CA34F5">
        <w:rPr>
          <w:rFonts w:ascii="Arial" w:hAnsi="Arial" w:cs="Arial"/>
          <w:b/>
          <w:u w:val="single"/>
        </w:rPr>
        <w:t>,</w:t>
      </w:r>
      <w:r w:rsidRPr="00CA34F5">
        <w:rPr>
          <w:rFonts w:ascii="Arial" w:hAnsi="Arial" w:cs="Arial"/>
          <w:b/>
          <w:u w:val="single"/>
        </w:rPr>
        <w:t xml:space="preserve"> Deterioro y Amortización Acum</w:t>
      </w:r>
      <w:r w:rsidR="001C1A14" w:rsidRPr="00CA34F5">
        <w:rPr>
          <w:rFonts w:ascii="Arial" w:hAnsi="Arial" w:cs="Arial"/>
          <w:b/>
          <w:u w:val="single"/>
        </w:rPr>
        <w:t>ulada de Bienes</w:t>
      </w:r>
      <w:r w:rsidR="005A08FA" w:rsidRPr="00CA34F5">
        <w:rPr>
          <w:rFonts w:ascii="Arial" w:hAnsi="Arial" w:cs="Arial"/>
          <w:b/>
          <w:u w:val="single"/>
        </w:rPr>
        <w:t xml:space="preserve"> </w:t>
      </w:r>
    </w:p>
    <w:p w14:paraId="5C739CC2" w14:textId="77777777" w:rsidR="00371736" w:rsidRDefault="00371736" w:rsidP="001041DB">
      <w:pPr>
        <w:spacing w:after="0" w:line="240" w:lineRule="auto"/>
        <w:jc w:val="both"/>
        <w:rPr>
          <w:rFonts w:ascii="Arial" w:hAnsi="Arial" w:cs="Arial"/>
        </w:rPr>
      </w:pPr>
    </w:p>
    <w:p w14:paraId="442CD29D" w14:textId="77777777" w:rsidR="00464EAA" w:rsidRDefault="00464EAA" w:rsidP="00464EAA">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El saldo de este rubro se integra como sigue:</w:t>
      </w:r>
    </w:p>
    <w:p w14:paraId="36094C6D" w14:textId="77777777" w:rsidR="00464EAA" w:rsidRDefault="00464EAA" w:rsidP="001041DB">
      <w:pPr>
        <w:spacing w:after="0" w:line="240" w:lineRule="auto"/>
        <w:jc w:val="both"/>
        <w:rPr>
          <w:rFonts w:ascii="Arial" w:hAnsi="Arial" w:cs="Arial"/>
        </w:rPr>
      </w:pPr>
    </w:p>
    <w:p w14:paraId="49E325D3" w14:textId="77777777" w:rsidR="005A43F5" w:rsidRDefault="005A43F5" w:rsidP="001041DB">
      <w:pPr>
        <w:spacing w:after="0" w:line="240" w:lineRule="auto"/>
        <w:jc w:val="both"/>
        <w:rPr>
          <w:rFonts w:ascii="Arial" w:hAnsi="Arial" w:cs="Arial"/>
        </w:rPr>
      </w:pPr>
    </w:p>
    <w:tbl>
      <w:tblPr>
        <w:tblW w:w="7160" w:type="dxa"/>
        <w:jc w:val="center"/>
        <w:tblCellMar>
          <w:left w:w="70" w:type="dxa"/>
          <w:right w:w="70" w:type="dxa"/>
        </w:tblCellMar>
        <w:tblLook w:val="04A0" w:firstRow="1" w:lastRow="0" w:firstColumn="1" w:lastColumn="0" w:noHBand="0" w:noVBand="1"/>
      </w:tblPr>
      <w:tblGrid>
        <w:gridCol w:w="3940"/>
        <w:gridCol w:w="1740"/>
        <w:gridCol w:w="1480"/>
      </w:tblGrid>
      <w:tr w:rsidR="006B53E9" w:rsidRPr="006B53E9" w14:paraId="1B5F99F6" w14:textId="77777777" w:rsidTr="006B53E9">
        <w:trPr>
          <w:trHeight w:val="360"/>
          <w:jc w:val="center"/>
        </w:trPr>
        <w:tc>
          <w:tcPr>
            <w:tcW w:w="394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493E030D" w14:textId="77777777" w:rsidR="006B53E9" w:rsidRPr="00267429" w:rsidRDefault="006B53E9" w:rsidP="006B53E9">
            <w:pPr>
              <w:spacing w:after="0" w:line="240" w:lineRule="auto"/>
              <w:rPr>
                <w:rFonts w:ascii="Arial" w:eastAsia="Times New Roman" w:hAnsi="Arial" w:cs="Arial"/>
                <w:b/>
                <w:bCs/>
                <w:color w:val="000000"/>
                <w:sz w:val="20"/>
                <w:szCs w:val="20"/>
                <w:lang w:eastAsia="es-MX"/>
              </w:rPr>
            </w:pPr>
            <w:r w:rsidRPr="00267429">
              <w:rPr>
                <w:rFonts w:ascii="Arial" w:eastAsia="Times New Roman" w:hAnsi="Arial" w:cs="Arial"/>
                <w:b/>
                <w:bCs/>
                <w:color w:val="000000"/>
                <w:sz w:val="20"/>
                <w:szCs w:val="20"/>
                <w:lang w:eastAsia="es-MX"/>
              </w:rPr>
              <w:t>Concepto</w:t>
            </w:r>
          </w:p>
        </w:tc>
        <w:tc>
          <w:tcPr>
            <w:tcW w:w="1740" w:type="dxa"/>
            <w:tcBorders>
              <w:top w:val="single" w:sz="8" w:space="0" w:color="auto"/>
              <w:left w:val="nil"/>
              <w:bottom w:val="single" w:sz="8" w:space="0" w:color="auto"/>
              <w:right w:val="single" w:sz="8" w:space="0" w:color="auto"/>
            </w:tcBorders>
            <w:shd w:val="clear" w:color="000000" w:fill="D0CECE"/>
            <w:noWrap/>
            <w:vAlign w:val="center"/>
            <w:hideMark/>
          </w:tcPr>
          <w:p w14:paraId="6B07DCA8" w14:textId="77777777" w:rsidR="006B53E9" w:rsidRPr="00267429" w:rsidRDefault="006B53E9" w:rsidP="006B53E9">
            <w:pPr>
              <w:spacing w:after="0" w:line="240" w:lineRule="auto"/>
              <w:rPr>
                <w:rFonts w:ascii="Arial" w:eastAsia="Times New Roman" w:hAnsi="Arial" w:cs="Arial"/>
                <w:b/>
                <w:bCs/>
                <w:color w:val="000000"/>
                <w:sz w:val="20"/>
                <w:szCs w:val="20"/>
                <w:lang w:eastAsia="es-MX"/>
              </w:rPr>
            </w:pPr>
            <w:r w:rsidRPr="00267429">
              <w:rPr>
                <w:rFonts w:ascii="Arial" w:eastAsia="Times New Roman" w:hAnsi="Arial" w:cs="Arial"/>
                <w:b/>
                <w:bCs/>
                <w:color w:val="000000"/>
                <w:sz w:val="20"/>
                <w:szCs w:val="20"/>
                <w:lang w:eastAsia="es-MX"/>
              </w:rPr>
              <w:t>Importe</w:t>
            </w:r>
          </w:p>
        </w:tc>
        <w:tc>
          <w:tcPr>
            <w:tcW w:w="1480" w:type="dxa"/>
            <w:tcBorders>
              <w:top w:val="single" w:sz="8" w:space="0" w:color="auto"/>
              <w:left w:val="nil"/>
              <w:bottom w:val="single" w:sz="8" w:space="0" w:color="auto"/>
              <w:right w:val="single" w:sz="8" w:space="0" w:color="auto"/>
            </w:tcBorders>
            <w:shd w:val="clear" w:color="000000" w:fill="D0CECE"/>
            <w:noWrap/>
            <w:vAlign w:val="center"/>
            <w:hideMark/>
          </w:tcPr>
          <w:p w14:paraId="27A90CDF" w14:textId="77777777" w:rsidR="006B53E9" w:rsidRPr="00267429" w:rsidRDefault="006B53E9" w:rsidP="006B53E9">
            <w:pPr>
              <w:spacing w:after="0" w:line="240" w:lineRule="auto"/>
              <w:rPr>
                <w:rFonts w:ascii="Arial" w:eastAsia="Times New Roman" w:hAnsi="Arial" w:cs="Arial"/>
                <w:b/>
                <w:bCs/>
                <w:color w:val="000000"/>
                <w:sz w:val="20"/>
                <w:szCs w:val="20"/>
                <w:lang w:eastAsia="es-MX"/>
              </w:rPr>
            </w:pPr>
            <w:r w:rsidRPr="00267429">
              <w:rPr>
                <w:rFonts w:ascii="Arial" w:eastAsia="Times New Roman" w:hAnsi="Arial" w:cs="Arial"/>
                <w:b/>
                <w:bCs/>
                <w:color w:val="000000"/>
                <w:sz w:val="20"/>
                <w:szCs w:val="20"/>
                <w:lang w:eastAsia="es-MX"/>
              </w:rPr>
              <w:t>%</w:t>
            </w:r>
          </w:p>
        </w:tc>
      </w:tr>
      <w:tr w:rsidR="006B53E9" w:rsidRPr="006B53E9" w14:paraId="0990F0BB" w14:textId="77777777" w:rsidTr="006B53E9">
        <w:trPr>
          <w:trHeight w:val="360"/>
          <w:jc w:val="center"/>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3DA228C4" w14:textId="77777777" w:rsidR="006B53E9" w:rsidRPr="00267429" w:rsidRDefault="006B53E9" w:rsidP="006B53E9">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Inmuebles e Infraestructura</w:t>
            </w:r>
          </w:p>
        </w:tc>
        <w:tc>
          <w:tcPr>
            <w:tcW w:w="1740" w:type="dxa"/>
            <w:tcBorders>
              <w:top w:val="nil"/>
              <w:left w:val="nil"/>
              <w:bottom w:val="single" w:sz="8" w:space="0" w:color="auto"/>
              <w:right w:val="single" w:sz="8" w:space="0" w:color="auto"/>
            </w:tcBorders>
            <w:shd w:val="clear" w:color="auto" w:fill="auto"/>
            <w:noWrap/>
            <w:vAlign w:val="center"/>
            <w:hideMark/>
          </w:tcPr>
          <w:p w14:paraId="1102BC1A" w14:textId="77777777" w:rsidR="006B53E9" w:rsidRPr="00267429" w:rsidRDefault="006B53E9" w:rsidP="006B53E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 xml:space="preserve">      1,660,087,215 </w:t>
            </w:r>
          </w:p>
        </w:tc>
        <w:tc>
          <w:tcPr>
            <w:tcW w:w="1480" w:type="dxa"/>
            <w:tcBorders>
              <w:top w:val="nil"/>
              <w:left w:val="nil"/>
              <w:bottom w:val="single" w:sz="8" w:space="0" w:color="auto"/>
              <w:right w:val="single" w:sz="8" w:space="0" w:color="auto"/>
            </w:tcBorders>
            <w:shd w:val="clear" w:color="auto" w:fill="auto"/>
            <w:noWrap/>
            <w:vAlign w:val="center"/>
            <w:hideMark/>
          </w:tcPr>
          <w:p w14:paraId="30F6DD34" w14:textId="77777777" w:rsidR="006B53E9" w:rsidRPr="00267429" w:rsidRDefault="006B53E9" w:rsidP="006B53E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50.44</w:t>
            </w:r>
          </w:p>
        </w:tc>
      </w:tr>
      <w:tr w:rsidR="006B53E9" w:rsidRPr="006B53E9" w14:paraId="654E4820" w14:textId="77777777" w:rsidTr="006B53E9">
        <w:trPr>
          <w:trHeight w:val="360"/>
          <w:jc w:val="center"/>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186FEB6F" w14:textId="77777777" w:rsidR="006B53E9" w:rsidRPr="00267429" w:rsidRDefault="006B53E9" w:rsidP="006B53E9">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Muebles</w:t>
            </w:r>
          </w:p>
        </w:tc>
        <w:tc>
          <w:tcPr>
            <w:tcW w:w="1740" w:type="dxa"/>
            <w:tcBorders>
              <w:top w:val="nil"/>
              <w:left w:val="nil"/>
              <w:bottom w:val="single" w:sz="8" w:space="0" w:color="auto"/>
              <w:right w:val="single" w:sz="8" w:space="0" w:color="auto"/>
            </w:tcBorders>
            <w:shd w:val="clear" w:color="auto" w:fill="auto"/>
            <w:noWrap/>
            <w:vAlign w:val="center"/>
            <w:hideMark/>
          </w:tcPr>
          <w:p w14:paraId="18A7CF54" w14:textId="00427EAD" w:rsidR="006B53E9" w:rsidRPr="00267429" w:rsidRDefault="006B53E9" w:rsidP="006B53E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 xml:space="preserve"> 1,627,135,033 </w:t>
            </w:r>
          </w:p>
        </w:tc>
        <w:tc>
          <w:tcPr>
            <w:tcW w:w="1480" w:type="dxa"/>
            <w:tcBorders>
              <w:top w:val="nil"/>
              <w:left w:val="nil"/>
              <w:bottom w:val="single" w:sz="8" w:space="0" w:color="auto"/>
              <w:right w:val="single" w:sz="8" w:space="0" w:color="auto"/>
            </w:tcBorders>
            <w:shd w:val="clear" w:color="auto" w:fill="auto"/>
            <w:noWrap/>
            <w:vAlign w:val="center"/>
            <w:hideMark/>
          </w:tcPr>
          <w:p w14:paraId="78C9805C" w14:textId="77777777" w:rsidR="006B53E9" w:rsidRPr="00267429" w:rsidRDefault="006B53E9" w:rsidP="006B53E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49.44</w:t>
            </w:r>
          </w:p>
        </w:tc>
      </w:tr>
      <w:tr w:rsidR="006B53E9" w:rsidRPr="006B53E9" w14:paraId="57994725" w14:textId="77777777" w:rsidTr="006B53E9">
        <w:trPr>
          <w:trHeight w:val="360"/>
          <w:jc w:val="center"/>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0731D376" w14:textId="77777777" w:rsidR="006B53E9" w:rsidRPr="00267429" w:rsidRDefault="006B53E9" w:rsidP="006B53E9">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Biológicos</w:t>
            </w:r>
          </w:p>
        </w:tc>
        <w:tc>
          <w:tcPr>
            <w:tcW w:w="1740" w:type="dxa"/>
            <w:tcBorders>
              <w:top w:val="nil"/>
              <w:left w:val="nil"/>
              <w:bottom w:val="single" w:sz="8" w:space="0" w:color="auto"/>
              <w:right w:val="single" w:sz="8" w:space="0" w:color="auto"/>
            </w:tcBorders>
            <w:shd w:val="clear" w:color="auto" w:fill="auto"/>
            <w:noWrap/>
            <w:vAlign w:val="center"/>
            <w:hideMark/>
          </w:tcPr>
          <w:p w14:paraId="1D8A158F" w14:textId="0327784B" w:rsidR="006B53E9" w:rsidRPr="00267429" w:rsidRDefault="006B53E9" w:rsidP="006B53E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 xml:space="preserve">          650,935 </w:t>
            </w:r>
          </w:p>
        </w:tc>
        <w:tc>
          <w:tcPr>
            <w:tcW w:w="1480" w:type="dxa"/>
            <w:tcBorders>
              <w:top w:val="nil"/>
              <w:left w:val="nil"/>
              <w:bottom w:val="single" w:sz="8" w:space="0" w:color="auto"/>
              <w:right w:val="single" w:sz="8" w:space="0" w:color="auto"/>
            </w:tcBorders>
            <w:shd w:val="clear" w:color="auto" w:fill="auto"/>
            <w:noWrap/>
            <w:vAlign w:val="center"/>
            <w:hideMark/>
          </w:tcPr>
          <w:p w14:paraId="5569D18F" w14:textId="77777777" w:rsidR="006B53E9" w:rsidRPr="00267429" w:rsidRDefault="006B53E9" w:rsidP="006B53E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0.02</w:t>
            </w:r>
          </w:p>
        </w:tc>
      </w:tr>
      <w:tr w:rsidR="006B53E9" w:rsidRPr="006B53E9" w14:paraId="0ED3CB05" w14:textId="77777777" w:rsidTr="006B53E9">
        <w:trPr>
          <w:trHeight w:val="360"/>
          <w:jc w:val="center"/>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2E4B3B5F" w14:textId="12E14BE7" w:rsidR="006B53E9" w:rsidRPr="00267429" w:rsidRDefault="00EA262D" w:rsidP="006B53E9">
            <w:pPr>
              <w:spacing w:after="0" w:line="240" w:lineRule="auto"/>
              <w:jc w:val="lef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Amortización de</w:t>
            </w:r>
            <w:r w:rsidR="006B53E9" w:rsidRPr="00267429">
              <w:rPr>
                <w:rFonts w:ascii="Arial" w:eastAsia="Times New Roman" w:hAnsi="Arial" w:cs="Arial"/>
                <w:color w:val="000000"/>
                <w:sz w:val="20"/>
                <w:szCs w:val="20"/>
                <w:lang w:eastAsia="es-MX"/>
              </w:rPr>
              <w:t xml:space="preserve"> Bienes Intangibles</w:t>
            </w:r>
          </w:p>
        </w:tc>
        <w:tc>
          <w:tcPr>
            <w:tcW w:w="1740" w:type="dxa"/>
            <w:tcBorders>
              <w:top w:val="nil"/>
              <w:left w:val="nil"/>
              <w:bottom w:val="single" w:sz="8" w:space="0" w:color="auto"/>
              <w:right w:val="single" w:sz="8" w:space="0" w:color="auto"/>
            </w:tcBorders>
            <w:shd w:val="clear" w:color="auto" w:fill="auto"/>
            <w:noWrap/>
            <w:vAlign w:val="center"/>
            <w:hideMark/>
          </w:tcPr>
          <w:p w14:paraId="173178B1" w14:textId="24FB4755" w:rsidR="006B53E9" w:rsidRPr="00267429" w:rsidRDefault="006B53E9" w:rsidP="006B53E9">
            <w:pPr>
              <w:spacing w:after="0" w:line="240" w:lineRule="auto"/>
              <w:jc w:val="right"/>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 xml:space="preserve">        3,210,835</w:t>
            </w:r>
          </w:p>
        </w:tc>
        <w:tc>
          <w:tcPr>
            <w:tcW w:w="1480" w:type="dxa"/>
            <w:tcBorders>
              <w:top w:val="nil"/>
              <w:left w:val="nil"/>
              <w:bottom w:val="single" w:sz="8" w:space="0" w:color="auto"/>
              <w:right w:val="single" w:sz="8" w:space="0" w:color="auto"/>
            </w:tcBorders>
            <w:shd w:val="clear" w:color="auto" w:fill="auto"/>
            <w:noWrap/>
            <w:vAlign w:val="center"/>
            <w:hideMark/>
          </w:tcPr>
          <w:p w14:paraId="5FEFD539" w14:textId="77777777" w:rsidR="006B53E9" w:rsidRPr="00267429" w:rsidRDefault="006B53E9" w:rsidP="006B53E9">
            <w:pPr>
              <w:spacing w:after="0" w:line="240" w:lineRule="auto"/>
              <w:rPr>
                <w:rFonts w:ascii="Arial" w:eastAsia="Times New Roman" w:hAnsi="Arial" w:cs="Arial"/>
                <w:color w:val="000000"/>
                <w:sz w:val="20"/>
                <w:szCs w:val="20"/>
                <w:lang w:eastAsia="es-MX"/>
              </w:rPr>
            </w:pPr>
            <w:r w:rsidRPr="00267429">
              <w:rPr>
                <w:rFonts w:ascii="Arial" w:eastAsia="Times New Roman" w:hAnsi="Arial" w:cs="Arial"/>
                <w:color w:val="000000"/>
                <w:sz w:val="20"/>
                <w:szCs w:val="20"/>
                <w:lang w:eastAsia="es-MX"/>
              </w:rPr>
              <w:t>0.10</w:t>
            </w:r>
          </w:p>
        </w:tc>
      </w:tr>
      <w:tr w:rsidR="006B53E9" w:rsidRPr="006B53E9" w14:paraId="6B1713AC" w14:textId="77777777" w:rsidTr="006B53E9">
        <w:trPr>
          <w:trHeight w:val="525"/>
          <w:jc w:val="center"/>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6E203417" w14:textId="77777777" w:rsidR="006B53E9" w:rsidRPr="00267429" w:rsidRDefault="006B53E9" w:rsidP="006B53E9">
            <w:pPr>
              <w:spacing w:after="0" w:line="240" w:lineRule="auto"/>
              <w:jc w:val="left"/>
              <w:rPr>
                <w:rFonts w:ascii="Arial" w:eastAsia="Times New Roman" w:hAnsi="Arial" w:cs="Arial"/>
                <w:b/>
                <w:bCs/>
                <w:color w:val="000000"/>
                <w:sz w:val="20"/>
                <w:szCs w:val="20"/>
                <w:lang w:eastAsia="es-MX"/>
              </w:rPr>
            </w:pPr>
            <w:r w:rsidRPr="00267429">
              <w:rPr>
                <w:rFonts w:ascii="Arial" w:eastAsia="Times New Roman" w:hAnsi="Arial" w:cs="Arial"/>
                <w:b/>
                <w:bCs/>
                <w:color w:val="000000"/>
                <w:sz w:val="20"/>
                <w:szCs w:val="20"/>
                <w:lang w:eastAsia="es-MX"/>
              </w:rPr>
              <w:t>Total Depreciación y Amortización de Bienes</w:t>
            </w:r>
          </w:p>
        </w:tc>
        <w:tc>
          <w:tcPr>
            <w:tcW w:w="1740" w:type="dxa"/>
            <w:tcBorders>
              <w:top w:val="nil"/>
              <w:left w:val="nil"/>
              <w:bottom w:val="single" w:sz="8" w:space="0" w:color="auto"/>
              <w:right w:val="single" w:sz="8" w:space="0" w:color="auto"/>
            </w:tcBorders>
            <w:shd w:val="clear" w:color="auto" w:fill="auto"/>
            <w:noWrap/>
            <w:vAlign w:val="center"/>
            <w:hideMark/>
          </w:tcPr>
          <w:p w14:paraId="647B35D0" w14:textId="77777777" w:rsidR="006B53E9" w:rsidRPr="00267429" w:rsidRDefault="006B53E9" w:rsidP="006B53E9">
            <w:pPr>
              <w:spacing w:after="0" w:line="240" w:lineRule="auto"/>
              <w:jc w:val="right"/>
              <w:rPr>
                <w:rFonts w:ascii="Arial" w:eastAsia="Times New Roman" w:hAnsi="Arial" w:cs="Arial"/>
                <w:b/>
                <w:bCs/>
                <w:color w:val="000000"/>
                <w:sz w:val="20"/>
                <w:szCs w:val="20"/>
                <w:lang w:eastAsia="es-MX"/>
              </w:rPr>
            </w:pPr>
            <w:r w:rsidRPr="00267429">
              <w:rPr>
                <w:rFonts w:ascii="Arial" w:eastAsia="Times New Roman" w:hAnsi="Arial" w:cs="Arial"/>
                <w:b/>
                <w:bCs/>
                <w:color w:val="000000"/>
                <w:sz w:val="20"/>
                <w:szCs w:val="20"/>
                <w:lang w:eastAsia="es-MX"/>
              </w:rPr>
              <w:t xml:space="preserve">      3,291,084,018 </w:t>
            </w:r>
          </w:p>
        </w:tc>
        <w:tc>
          <w:tcPr>
            <w:tcW w:w="1480" w:type="dxa"/>
            <w:tcBorders>
              <w:top w:val="nil"/>
              <w:left w:val="nil"/>
              <w:bottom w:val="single" w:sz="8" w:space="0" w:color="auto"/>
              <w:right w:val="single" w:sz="8" w:space="0" w:color="auto"/>
            </w:tcBorders>
            <w:shd w:val="clear" w:color="auto" w:fill="auto"/>
            <w:noWrap/>
            <w:vAlign w:val="center"/>
            <w:hideMark/>
          </w:tcPr>
          <w:p w14:paraId="65CC5649" w14:textId="77777777" w:rsidR="006B53E9" w:rsidRPr="00267429" w:rsidRDefault="006B53E9" w:rsidP="006B53E9">
            <w:pPr>
              <w:spacing w:after="0" w:line="240" w:lineRule="auto"/>
              <w:rPr>
                <w:rFonts w:ascii="Arial" w:eastAsia="Times New Roman" w:hAnsi="Arial" w:cs="Arial"/>
                <w:b/>
                <w:bCs/>
                <w:color w:val="000000"/>
                <w:sz w:val="20"/>
                <w:szCs w:val="20"/>
                <w:lang w:eastAsia="es-MX"/>
              </w:rPr>
            </w:pPr>
            <w:r w:rsidRPr="00267429">
              <w:rPr>
                <w:rFonts w:ascii="Arial" w:eastAsia="Times New Roman" w:hAnsi="Arial" w:cs="Arial"/>
                <w:b/>
                <w:bCs/>
                <w:color w:val="000000"/>
                <w:sz w:val="20"/>
                <w:szCs w:val="20"/>
                <w:lang w:eastAsia="es-MX"/>
              </w:rPr>
              <w:t>100</w:t>
            </w:r>
          </w:p>
        </w:tc>
      </w:tr>
    </w:tbl>
    <w:p w14:paraId="2A2EDE07" w14:textId="592676E3" w:rsidR="005A43F5" w:rsidRDefault="005A43F5" w:rsidP="001041DB">
      <w:pPr>
        <w:spacing w:after="0" w:line="240" w:lineRule="auto"/>
        <w:jc w:val="both"/>
        <w:rPr>
          <w:rFonts w:ascii="Arial" w:hAnsi="Arial" w:cs="Arial"/>
        </w:rPr>
      </w:pPr>
    </w:p>
    <w:p w14:paraId="6AEC9C33" w14:textId="358E6EF5" w:rsidR="0043693E" w:rsidRPr="00CA34F5" w:rsidRDefault="00F73576" w:rsidP="000A4C31">
      <w:pPr>
        <w:spacing w:line="240" w:lineRule="auto"/>
        <w:jc w:val="both"/>
        <w:rPr>
          <w:rFonts w:ascii="Arial" w:hAnsi="Arial" w:cs="Arial"/>
        </w:rPr>
      </w:pPr>
      <w:r w:rsidRPr="00CA34F5">
        <w:rPr>
          <w:rFonts w:ascii="Arial" w:hAnsi="Arial" w:cs="Arial"/>
        </w:rPr>
        <w:t>L</w:t>
      </w:r>
      <w:r w:rsidR="00DF0580" w:rsidRPr="00CA34F5">
        <w:rPr>
          <w:rFonts w:ascii="Arial" w:hAnsi="Arial" w:cs="Arial"/>
        </w:rPr>
        <w:t>os respectivos cálculos están basados en las</w:t>
      </w:r>
      <w:r w:rsidR="0043693E" w:rsidRPr="00CA34F5">
        <w:rPr>
          <w:rFonts w:ascii="Arial" w:hAnsi="Arial" w:cs="Arial"/>
        </w:rPr>
        <w:t xml:space="preserve"> siguientes consideraciones:</w:t>
      </w:r>
    </w:p>
    <w:p w14:paraId="123135D5" w14:textId="54385C8A" w:rsidR="0043693E" w:rsidRPr="00CA34F5" w:rsidRDefault="0043693E" w:rsidP="000A4C31">
      <w:pPr>
        <w:spacing w:line="240" w:lineRule="auto"/>
        <w:jc w:val="both"/>
        <w:rPr>
          <w:rFonts w:ascii="Arial" w:hAnsi="Arial" w:cs="Arial"/>
        </w:rPr>
      </w:pPr>
      <w:r w:rsidRPr="00CA34F5">
        <w:rPr>
          <w:rFonts w:ascii="Arial" w:hAnsi="Arial" w:cs="Arial"/>
        </w:rPr>
        <w:t>El método de cálculo de la depreciación de estos activos es el de línea recta, en el que se distribuye el costo de la inversión menos su valor de desecho, entre el número de años de vida útil del activo. El valor de desecho al final de la vida económica o término de la vida útil, es el 30% del monto de adquisición de cada uno de los bienes muebles e inmuebles que integran el Activo No Circulante. Ese porcentaje atiende al criterio prudencial que debe prevalecer para salvaguardar la utilidad de la información financiera.</w:t>
      </w:r>
    </w:p>
    <w:p w14:paraId="04EAF60A" w14:textId="77777777" w:rsidR="0043693E" w:rsidRPr="00CA34F5" w:rsidRDefault="0043693E" w:rsidP="000A4C31">
      <w:pPr>
        <w:spacing w:line="240" w:lineRule="auto"/>
        <w:jc w:val="both"/>
        <w:rPr>
          <w:rFonts w:ascii="Arial" w:hAnsi="Arial" w:cs="Arial"/>
        </w:rPr>
      </w:pPr>
      <w:r w:rsidRPr="00CA34F5">
        <w:rPr>
          <w:rFonts w:ascii="Arial" w:hAnsi="Arial" w:cs="Arial"/>
        </w:rPr>
        <w:t>Las tasas de depreciación utilizadas y los criterios para su aplicación así como el método lineal y el porcentaje de desecho referidos, son de acuerdo a la Norma de Contabilidad Gubernamental del Poder Ejecutivo del Estado de Tabasco 2016 para el tratamiento contable de la depreciación, publicada en el Periódico Oficial del Estado el 21 de diciembre del 2016; la que a su vez cumple los Acuerdos del Consejo Nacional de Armonización Contable por los que emitió las Principales Reglas de Registro y Valoración del Patrimonio (Elementos Generales); así como las Reglas Específicas del Registro y Valoración del Patrimonio.</w:t>
      </w:r>
    </w:p>
    <w:p w14:paraId="44ED7FF3" w14:textId="77777777" w:rsidR="0043693E" w:rsidRPr="00CA34F5" w:rsidRDefault="0043693E" w:rsidP="000A4C31">
      <w:pPr>
        <w:spacing w:after="0" w:line="240" w:lineRule="auto"/>
        <w:jc w:val="both"/>
        <w:rPr>
          <w:rFonts w:ascii="Arial" w:hAnsi="Arial" w:cs="Arial"/>
          <w:b/>
          <w:u w:val="single"/>
        </w:rPr>
      </w:pPr>
      <w:r w:rsidRPr="00CA34F5">
        <w:rPr>
          <w:rFonts w:ascii="Arial" w:hAnsi="Arial" w:cs="Arial"/>
          <w:b/>
          <w:u w:val="single"/>
        </w:rPr>
        <w:t>Estimaciones y Deterioros</w:t>
      </w:r>
    </w:p>
    <w:p w14:paraId="66526E75" w14:textId="77777777" w:rsidR="0043693E" w:rsidRPr="00CA34F5" w:rsidRDefault="0043693E" w:rsidP="000A4C31">
      <w:pPr>
        <w:spacing w:after="0" w:line="240" w:lineRule="auto"/>
        <w:jc w:val="both"/>
        <w:rPr>
          <w:rFonts w:ascii="Arial" w:hAnsi="Arial" w:cs="Arial"/>
        </w:rPr>
      </w:pPr>
    </w:p>
    <w:p w14:paraId="03646EE6" w14:textId="00590634" w:rsidR="0043693E" w:rsidRPr="00CA34F5" w:rsidRDefault="0043693E" w:rsidP="000A4C31">
      <w:pPr>
        <w:spacing w:after="0" w:line="240" w:lineRule="auto"/>
        <w:jc w:val="both"/>
        <w:rPr>
          <w:rFonts w:ascii="Arial" w:eastAsia="DIN Next LT Pro Condensed" w:hAnsi="Arial" w:cs="Arial"/>
        </w:rPr>
      </w:pPr>
      <w:r w:rsidRPr="00CA34F5">
        <w:rPr>
          <w:rFonts w:ascii="Arial" w:eastAsia="DIN Next LT Pro Condensed" w:hAnsi="Arial" w:cs="Arial"/>
          <w:spacing w:val="13"/>
        </w:rPr>
        <w:t xml:space="preserve"> </w:t>
      </w:r>
      <w:r w:rsidR="001121B8" w:rsidRPr="00CA34F5">
        <w:rPr>
          <w:rFonts w:ascii="Arial" w:eastAsia="DIN Next LT Pro Condensed" w:hAnsi="Arial" w:cs="Arial"/>
        </w:rPr>
        <w:t>N</w:t>
      </w:r>
      <w:r w:rsidRPr="00CA34F5">
        <w:rPr>
          <w:rFonts w:ascii="Arial" w:eastAsia="DIN Next LT Pro Condensed" w:hAnsi="Arial" w:cs="Arial"/>
        </w:rPr>
        <w:t>o</w:t>
      </w:r>
      <w:r w:rsidRPr="00CA34F5">
        <w:rPr>
          <w:rFonts w:ascii="Arial" w:eastAsia="DIN Next LT Pro Condensed" w:hAnsi="Arial" w:cs="Arial"/>
          <w:spacing w:val="4"/>
        </w:rPr>
        <w:t xml:space="preserve"> </w:t>
      </w:r>
      <w:r w:rsidR="001B1FA0" w:rsidRPr="00CA34F5">
        <w:rPr>
          <w:rFonts w:ascii="Arial" w:eastAsia="DIN Next LT Pro Condensed" w:hAnsi="Arial" w:cs="Arial"/>
          <w:spacing w:val="4"/>
        </w:rPr>
        <w:t xml:space="preserve">se </w:t>
      </w:r>
      <w:r w:rsidRPr="00CA34F5">
        <w:rPr>
          <w:rFonts w:ascii="Arial" w:eastAsia="DIN Next LT Pro Condensed" w:hAnsi="Arial" w:cs="Arial"/>
        </w:rPr>
        <w:t>tiene</w:t>
      </w:r>
      <w:r w:rsidRPr="00CA34F5">
        <w:rPr>
          <w:rFonts w:ascii="Arial" w:eastAsia="DIN Next LT Pro Condensed" w:hAnsi="Arial" w:cs="Arial"/>
          <w:spacing w:val="8"/>
        </w:rPr>
        <w:t xml:space="preserve"> </w:t>
      </w:r>
      <w:r w:rsidRPr="00CA34F5">
        <w:rPr>
          <w:rFonts w:ascii="Arial" w:eastAsia="DIN Next LT Pro Condensed" w:hAnsi="Arial" w:cs="Arial"/>
        </w:rPr>
        <w:t>Estimación</w:t>
      </w:r>
      <w:r w:rsidRPr="00CA34F5">
        <w:rPr>
          <w:rFonts w:ascii="Arial" w:eastAsia="DIN Next LT Pro Condensed" w:hAnsi="Arial" w:cs="Arial"/>
          <w:spacing w:val="15"/>
        </w:rPr>
        <w:t xml:space="preserve"> </w:t>
      </w:r>
      <w:r w:rsidRPr="00CA34F5">
        <w:rPr>
          <w:rFonts w:ascii="Arial" w:eastAsia="DIN Next LT Pro Condensed" w:hAnsi="Arial" w:cs="Arial"/>
        </w:rPr>
        <w:t>por</w:t>
      </w:r>
      <w:r w:rsidRPr="00CA34F5">
        <w:rPr>
          <w:rFonts w:ascii="Arial" w:eastAsia="DIN Next LT Pro Condensed" w:hAnsi="Arial" w:cs="Arial"/>
          <w:spacing w:val="5"/>
        </w:rPr>
        <w:t xml:space="preserve"> </w:t>
      </w:r>
      <w:r w:rsidRPr="00CA34F5">
        <w:rPr>
          <w:rFonts w:ascii="Arial" w:eastAsia="DIN Next LT Pro Condensed" w:hAnsi="Arial" w:cs="Arial"/>
        </w:rPr>
        <w:t>Pérdida</w:t>
      </w:r>
      <w:r w:rsidRPr="00CA34F5">
        <w:rPr>
          <w:rFonts w:ascii="Arial" w:eastAsia="DIN Next LT Pro Condensed" w:hAnsi="Arial" w:cs="Arial"/>
          <w:spacing w:val="11"/>
        </w:rPr>
        <w:t xml:space="preserve"> </w:t>
      </w:r>
      <w:r w:rsidRPr="00CA34F5">
        <w:rPr>
          <w:rFonts w:ascii="Arial" w:eastAsia="DIN Next LT Pro Condensed" w:hAnsi="Arial" w:cs="Arial"/>
        </w:rPr>
        <w:t>o</w:t>
      </w:r>
      <w:r w:rsidRPr="00CA34F5">
        <w:rPr>
          <w:rFonts w:ascii="Arial" w:eastAsia="DIN Next LT Pro Condensed" w:hAnsi="Arial" w:cs="Arial"/>
          <w:spacing w:val="3"/>
        </w:rPr>
        <w:t xml:space="preserve"> </w:t>
      </w:r>
      <w:r w:rsidRPr="00CA34F5">
        <w:rPr>
          <w:rFonts w:ascii="Arial" w:eastAsia="DIN Next LT Pro Condensed" w:hAnsi="Arial" w:cs="Arial"/>
        </w:rPr>
        <w:t>Deterioro</w:t>
      </w:r>
      <w:r w:rsidRPr="00CA34F5">
        <w:rPr>
          <w:rFonts w:ascii="Arial" w:eastAsia="DIN Next LT Pro Condensed" w:hAnsi="Arial" w:cs="Arial"/>
          <w:spacing w:val="13"/>
        </w:rPr>
        <w:t xml:space="preserve"> </w:t>
      </w:r>
      <w:r w:rsidRPr="00CA34F5">
        <w:rPr>
          <w:rFonts w:ascii="Arial" w:eastAsia="DIN Next LT Pro Condensed" w:hAnsi="Arial" w:cs="Arial"/>
        </w:rPr>
        <w:t>de</w:t>
      </w:r>
      <w:r w:rsidRPr="00CA34F5">
        <w:rPr>
          <w:rFonts w:ascii="Arial" w:eastAsia="DIN Next LT Pro Condensed" w:hAnsi="Arial" w:cs="Arial"/>
          <w:spacing w:val="4"/>
        </w:rPr>
        <w:t xml:space="preserve"> </w:t>
      </w:r>
      <w:r w:rsidRPr="00CA34F5">
        <w:rPr>
          <w:rFonts w:ascii="Arial" w:eastAsia="DIN Next LT Pro Condensed" w:hAnsi="Arial" w:cs="Arial"/>
        </w:rPr>
        <w:t>Activos</w:t>
      </w:r>
      <w:r w:rsidRPr="00CA34F5">
        <w:rPr>
          <w:rFonts w:ascii="Arial" w:eastAsia="DIN Next LT Pro Condensed" w:hAnsi="Arial" w:cs="Arial"/>
          <w:spacing w:val="10"/>
        </w:rPr>
        <w:t xml:space="preserve"> </w:t>
      </w:r>
      <w:r w:rsidRPr="00CA34F5">
        <w:rPr>
          <w:rFonts w:ascii="Arial" w:eastAsia="DIN Next LT Pro Condensed" w:hAnsi="Arial" w:cs="Arial"/>
        </w:rPr>
        <w:t>no</w:t>
      </w:r>
      <w:r w:rsidRPr="00CA34F5">
        <w:rPr>
          <w:rFonts w:ascii="Arial" w:eastAsia="DIN Next LT Pro Condensed" w:hAnsi="Arial" w:cs="Arial"/>
          <w:spacing w:val="4"/>
        </w:rPr>
        <w:t xml:space="preserve"> </w:t>
      </w:r>
      <w:r w:rsidRPr="00CA34F5">
        <w:rPr>
          <w:rFonts w:ascii="Arial" w:eastAsia="DIN Next LT Pro Condensed" w:hAnsi="Arial" w:cs="Arial"/>
          <w:w w:val="102"/>
        </w:rPr>
        <w:t>Circulantes.</w:t>
      </w:r>
    </w:p>
    <w:p w14:paraId="46C9D41D" w14:textId="77777777" w:rsidR="00BF1405" w:rsidRDefault="00BF1405" w:rsidP="000A4C31">
      <w:pPr>
        <w:spacing w:before="240" w:after="0" w:line="240" w:lineRule="auto"/>
        <w:jc w:val="both"/>
        <w:rPr>
          <w:rFonts w:ascii="Arial" w:hAnsi="Arial" w:cs="Arial"/>
          <w:b/>
          <w:u w:val="single"/>
        </w:rPr>
      </w:pPr>
    </w:p>
    <w:p w14:paraId="47DB4942" w14:textId="77777777" w:rsidR="00BF1405" w:rsidRDefault="00BF1405" w:rsidP="000A4C31">
      <w:pPr>
        <w:spacing w:before="240" w:after="0" w:line="240" w:lineRule="auto"/>
        <w:jc w:val="both"/>
        <w:rPr>
          <w:rFonts w:ascii="Arial" w:hAnsi="Arial" w:cs="Arial"/>
          <w:b/>
          <w:u w:val="single"/>
        </w:rPr>
      </w:pPr>
    </w:p>
    <w:p w14:paraId="3EFF32B7" w14:textId="77777777" w:rsidR="0043693E" w:rsidRPr="00CA34F5" w:rsidRDefault="0043693E" w:rsidP="000A4C31">
      <w:pPr>
        <w:spacing w:before="240" w:after="0" w:line="240" w:lineRule="auto"/>
        <w:jc w:val="both"/>
        <w:rPr>
          <w:rFonts w:ascii="Arial" w:hAnsi="Arial" w:cs="Arial"/>
          <w:b/>
          <w:u w:val="single"/>
        </w:rPr>
      </w:pPr>
      <w:r w:rsidRPr="00CA34F5">
        <w:rPr>
          <w:rFonts w:ascii="Arial" w:hAnsi="Arial" w:cs="Arial"/>
          <w:b/>
          <w:u w:val="single"/>
        </w:rPr>
        <w:lastRenderedPageBreak/>
        <w:t>Otros Activos</w:t>
      </w:r>
    </w:p>
    <w:p w14:paraId="575CD923" w14:textId="77777777" w:rsidR="0054333F" w:rsidRPr="00CA34F5" w:rsidRDefault="0054333F" w:rsidP="000A4C31">
      <w:pPr>
        <w:spacing w:before="240" w:after="0" w:line="240" w:lineRule="auto"/>
        <w:jc w:val="both"/>
        <w:rPr>
          <w:rFonts w:ascii="Arial" w:hAnsi="Arial" w:cs="Arial"/>
          <w:b/>
          <w:u w:val="single"/>
        </w:rPr>
      </w:pPr>
    </w:p>
    <w:p w14:paraId="1D6A025B" w14:textId="77777777" w:rsidR="0043693E" w:rsidRPr="00CA34F5" w:rsidRDefault="0043693E" w:rsidP="000A4C31">
      <w:pPr>
        <w:spacing w:after="0" w:line="240" w:lineRule="auto"/>
        <w:jc w:val="both"/>
        <w:rPr>
          <w:rFonts w:ascii="Arial" w:eastAsia="DIN Next LT Pro Condensed" w:hAnsi="Arial" w:cs="Arial"/>
          <w:w w:val="102"/>
        </w:rPr>
      </w:pPr>
      <w:r w:rsidRPr="00CA34F5">
        <w:rPr>
          <w:rFonts w:ascii="Arial" w:eastAsia="DIN Next LT Pro Condensed" w:hAnsi="Arial" w:cs="Arial"/>
        </w:rPr>
        <w:t>No</w:t>
      </w:r>
      <w:r w:rsidRPr="00CA34F5">
        <w:rPr>
          <w:rFonts w:ascii="Arial" w:eastAsia="DIN Next LT Pro Condensed" w:hAnsi="Arial" w:cs="Arial"/>
          <w:spacing w:val="4"/>
        </w:rPr>
        <w:t xml:space="preserve"> </w:t>
      </w:r>
      <w:r w:rsidRPr="00CA34F5">
        <w:rPr>
          <w:rFonts w:ascii="Arial" w:eastAsia="DIN Next LT Pro Condensed" w:hAnsi="Arial" w:cs="Arial"/>
        </w:rPr>
        <w:t xml:space="preserve">se </w:t>
      </w:r>
      <w:r w:rsidRPr="00CA34F5">
        <w:rPr>
          <w:rFonts w:ascii="Arial" w:eastAsia="DIN Next LT Pro Condensed" w:hAnsi="Arial" w:cs="Arial"/>
          <w:spacing w:val="5"/>
        </w:rPr>
        <w:t>tiene</w:t>
      </w:r>
      <w:r w:rsidRPr="00CA34F5">
        <w:rPr>
          <w:rFonts w:ascii="Arial" w:eastAsia="DIN Next LT Pro Condensed" w:hAnsi="Arial" w:cs="Arial"/>
          <w:spacing w:val="8"/>
        </w:rPr>
        <w:t xml:space="preserve"> </w:t>
      </w:r>
      <w:r w:rsidRPr="00CA34F5">
        <w:rPr>
          <w:rFonts w:ascii="Arial" w:eastAsia="DIN Next LT Pro Condensed" w:hAnsi="Arial" w:cs="Arial"/>
        </w:rPr>
        <w:t>Otros</w:t>
      </w:r>
      <w:r w:rsidRPr="00CA34F5">
        <w:rPr>
          <w:rFonts w:ascii="Arial" w:eastAsia="DIN Next LT Pro Condensed" w:hAnsi="Arial" w:cs="Arial"/>
          <w:spacing w:val="8"/>
        </w:rPr>
        <w:t xml:space="preserve"> </w:t>
      </w:r>
      <w:r w:rsidRPr="00CA34F5">
        <w:rPr>
          <w:rFonts w:ascii="Arial" w:eastAsia="DIN Next LT Pro Condensed" w:hAnsi="Arial" w:cs="Arial"/>
        </w:rPr>
        <w:t>Activos</w:t>
      </w:r>
      <w:r w:rsidRPr="00CA34F5">
        <w:rPr>
          <w:rFonts w:ascii="Arial" w:eastAsia="DIN Next LT Pro Condensed" w:hAnsi="Arial" w:cs="Arial"/>
          <w:spacing w:val="10"/>
        </w:rPr>
        <w:t xml:space="preserve"> </w:t>
      </w:r>
      <w:r w:rsidRPr="00CA34F5">
        <w:rPr>
          <w:rFonts w:ascii="Arial" w:eastAsia="DIN Next LT Pro Condensed" w:hAnsi="Arial" w:cs="Arial"/>
        </w:rPr>
        <w:t>no</w:t>
      </w:r>
      <w:r w:rsidRPr="00CA34F5">
        <w:rPr>
          <w:rFonts w:ascii="Arial" w:eastAsia="DIN Next LT Pro Condensed" w:hAnsi="Arial" w:cs="Arial"/>
          <w:spacing w:val="4"/>
        </w:rPr>
        <w:t xml:space="preserve"> </w:t>
      </w:r>
      <w:r w:rsidRPr="00CA34F5">
        <w:rPr>
          <w:rFonts w:ascii="Arial" w:eastAsia="DIN Next LT Pro Condensed" w:hAnsi="Arial" w:cs="Arial"/>
          <w:w w:val="102"/>
        </w:rPr>
        <w:t>Circulantes</w:t>
      </w:r>
    </w:p>
    <w:p w14:paraId="64282BF9" w14:textId="77777777" w:rsidR="005A08FA" w:rsidRPr="00CA34F5" w:rsidRDefault="005A08FA" w:rsidP="000A4C31">
      <w:pPr>
        <w:spacing w:after="0" w:line="240" w:lineRule="auto"/>
        <w:jc w:val="both"/>
        <w:rPr>
          <w:rFonts w:ascii="Arial" w:eastAsia="DIN Next LT Pro Condensed" w:hAnsi="Arial" w:cs="Arial"/>
          <w:w w:val="102"/>
        </w:rPr>
      </w:pPr>
    </w:p>
    <w:p w14:paraId="6E57DA3F" w14:textId="2F20D1DB" w:rsidR="004F3379" w:rsidRPr="00CA34F5" w:rsidRDefault="00AC276D" w:rsidP="000A4C31">
      <w:pPr>
        <w:spacing w:before="240" w:after="0" w:line="240" w:lineRule="auto"/>
        <w:jc w:val="both"/>
        <w:rPr>
          <w:rFonts w:ascii="Arial" w:hAnsi="Arial" w:cs="Arial"/>
          <w:b/>
        </w:rPr>
      </w:pPr>
      <w:r w:rsidRPr="00CA34F5">
        <w:rPr>
          <w:rFonts w:ascii="Arial" w:hAnsi="Arial" w:cs="Arial"/>
          <w:b/>
        </w:rPr>
        <w:t>PASIVO</w:t>
      </w:r>
    </w:p>
    <w:p w14:paraId="4661D934" w14:textId="6AC9386E" w:rsidR="00CC028F" w:rsidRPr="00CA34F5" w:rsidRDefault="0043693E" w:rsidP="000A4C31">
      <w:pPr>
        <w:spacing w:before="240" w:after="0" w:line="240" w:lineRule="auto"/>
        <w:jc w:val="both"/>
        <w:rPr>
          <w:rFonts w:ascii="Arial" w:hAnsi="Arial" w:cs="Arial"/>
          <w:b/>
          <w:u w:val="single"/>
        </w:rPr>
      </w:pPr>
      <w:r w:rsidRPr="00CA34F5">
        <w:rPr>
          <w:rFonts w:ascii="Arial" w:hAnsi="Arial" w:cs="Arial"/>
          <w:b/>
          <w:u w:val="single"/>
        </w:rPr>
        <w:t>Cuentas por Pagar a Corto Plazo</w:t>
      </w:r>
    </w:p>
    <w:p w14:paraId="316AD9D3" w14:textId="77777777" w:rsidR="0037471C" w:rsidRPr="00CA34F5" w:rsidRDefault="0037471C" w:rsidP="000A4C31">
      <w:pPr>
        <w:spacing w:before="240" w:after="0" w:line="240" w:lineRule="auto"/>
        <w:jc w:val="both"/>
        <w:rPr>
          <w:rFonts w:ascii="Arial" w:hAnsi="Arial" w:cs="Arial"/>
          <w:b/>
          <w:u w:val="single"/>
        </w:rPr>
      </w:pPr>
    </w:p>
    <w:p w14:paraId="21971C6F" w14:textId="12039E05" w:rsidR="007F6D23" w:rsidRPr="00CA34F5" w:rsidRDefault="00031734" w:rsidP="007F6D23">
      <w:pPr>
        <w:spacing w:after="0" w:line="240" w:lineRule="auto"/>
        <w:jc w:val="both"/>
        <w:rPr>
          <w:rFonts w:ascii="Arial" w:hAnsi="Arial" w:cs="Arial"/>
        </w:rPr>
      </w:pPr>
      <w:r w:rsidRPr="00CA34F5">
        <w:rPr>
          <w:rFonts w:ascii="Arial" w:hAnsi="Arial" w:cs="Arial"/>
        </w:rPr>
        <w:t xml:space="preserve">Este </w:t>
      </w:r>
      <w:r w:rsidR="002C6950" w:rsidRPr="00CA34F5">
        <w:rPr>
          <w:rFonts w:ascii="Arial" w:hAnsi="Arial" w:cs="Arial"/>
        </w:rPr>
        <w:t>rubro se integra</w:t>
      </w:r>
      <w:r w:rsidRPr="00CA34F5">
        <w:rPr>
          <w:rFonts w:ascii="Arial" w:hAnsi="Arial" w:cs="Arial"/>
        </w:rPr>
        <w:t xml:space="preserve"> como sigue</w:t>
      </w:r>
      <w:r w:rsidR="00AC149B" w:rsidRPr="00CA34F5">
        <w:rPr>
          <w:rFonts w:ascii="Arial" w:hAnsi="Arial" w:cs="Arial"/>
        </w:rPr>
        <w:t>:</w:t>
      </w:r>
    </w:p>
    <w:p w14:paraId="2FD1CE21" w14:textId="77777777" w:rsidR="00AC149B" w:rsidRPr="00CA34F5" w:rsidRDefault="00AC149B" w:rsidP="001A0B07">
      <w:pPr>
        <w:spacing w:after="0" w:line="240" w:lineRule="auto"/>
        <w:rPr>
          <w:rFonts w:ascii="Arial" w:hAnsi="Arial" w:cs="Arial"/>
        </w:rPr>
      </w:pPr>
    </w:p>
    <w:tbl>
      <w:tblPr>
        <w:tblW w:w="0" w:type="auto"/>
        <w:jc w:val="right"/>
        <w:tblCellMar>
          <w:left w:w="70" w:type="dxa"/>
          <w:right w:w="70" w:type="dxa"/>
        </w:tblCellMar>
        <w:tblLook w:val="04A0" w:firstRow="1" w:lastRow="0" w:firstColumn="1" w:lastColumn="0" w:noHBand="0" w:noVBand="1"/>
      </w:tblPr>
      <w:tblGrid>
        <w:gridCol w:w="6047"/>
        <w:gridCol w:w="1740"/>
        <w:gridCol w:w="850"/>
        <w:gridCol w:w="2340"/>
      </w:tblGrid>
      <w:tr w:rsidR="00F17FE9" w:rsidRPr="00CA34F5" w14:paraId="67276375" w14:textId="77777777" w:rsidTr="001A0B07">
        <w:trPr>
          <w:gridAfter w:val="1"/>
          <w:wAfter w:w="2340" w:type="dxa"/>
          <w:trHeight w:val="495"/>
          <w:jc w:val="right"/>
        </w:trPr>
        <w:tc>
          <w:tcPr>
            <w:tcW w:w="0" w:type="auto"/>
            <w:tcBorders>
              <w:top w:val="single" w:sz="8" w:space="0" w:color="auto"/>
              <w:left w:val="single" w:sz="8" w:space="0" w:color="auto"/>
              <w:bottom w:val="single" w:sz="8" w:space="0" w:color="auto"/>
              <w:right w:val="single" w:sz="8" w:space="0" w:color="auto"/>
            </w:tcBorders>
            <w:shd w:val="clear" w:color="000000" w:fill="A6A6A6"/>
            <w:vAlign w:val="center"/>
            <w:hideMark/>
          </w:tcPr>
          <w:p w14:paraId="44FD2D70" w14:textId="77777777" w:rsidR="00F17FE9" w:rsidRPr="00CA34F5" w:rsidRDefault="00F17FE9" w:rsidP="001A0B07">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Cuentas que integran Cuentas por Pagar a Corto Plazo</w:t>
            </w:r>
          </w:p>
        </w:tc>
        <w:tc>
          <w:tcPr>
            <w:tcW w:w="1740" w:type="dxa"/>
            <w:tcBorders>
              <w:top w:val="single" w:sz="8" w:space="0" w:color="auto"/>
              <w:left w:val="nil"/>
              <w:bottom w:val="single" w:sz="8" w:space="0" w:color="auto"/>
              <w:right w:val="single" w:sz="8" w:space="0" w:color="auto"/>
            </w:tcBorders>
            <w:shd w:val="clear" w:color="000000" w:fill="A6A6A6"/>
            <w:vAlign w:val="center"/>
            <w:hideMark/>
          </w:tcPr>
          <w:p w14:paraId="3FC4EECA" w14:textId="6FA4F37C" w:rsidR="00F17FE9" w:rsidRPr="00CA34F5" w:rsidRDefault="000A2F07" w:rsidP="001A0B07">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Saldos al 31 diciembre</w:t>
            </w:r>
            <w:r w:rsidR="00DD40B0" w:rsidRPr="00CA34F5">
              <w:rPr>
                <w:rFonts w:ascii="Arial" w:eastAsia="Times New Roman" w:hAnsi="Arial" w:cs="Arial"/>
                <w:b/>
                <w:bCs/>
                <w:color w:val="000000"/>
                <w:lang w:eastAsia="es-MX"/>
              </w:rPr>
              <w:t xml:space="preserve"> 2021</w:t>
            </w:r>
          </w:p>
        </w:tc>
        <w:tc>
          <w:tcPr>
            <w:tcW w:w="850" w:type="dxa"/>
            <w:tcBorders>
              <w:top w:val="single" w:sz="8" w:space="0" w:color="auto"/>
              <w:left w:val="nil"/>
              <w:bottom w:val="single" w:sz="8" w:space="0" w:color="auto"/>
              <w:right w:val="single" w:sz="8" w:space="0" w:color="auto"/>
            </w:tcBorders>
            <w:shd w:val="clear" w:color="000000" w:fill="A6A6A6"/>
            <w:vAlign w:val="center"/>
            <w:hideMark/>
          </w:tcPr>
          <w:p w14:paraId="010991B4" w14:textId="77777777" w:rsidR="00F17FE9" w:rsidRPr="00CA34F5" w:rsidRDefault="00F17FE9" w:rsidP="001A0B07">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w:t>
            </w:r>
          </w:p>
        </w:tc>
      </w:tr>
      <w:tr w:rsidR="007D7CFF" w:rsidRPr="00CA34F5" w14:paraId="5FE3B72F" w14:textId="2597B4C2" w:rsidTr="001A0B07">
        <w:trPr>
          <w:trHeight w:val="239"/>
          <w:jc w:val="right"/>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D1F5AC4" w14:textId="4786239F" w:rsidR="007D7CFF" w:rsidRPr="00CA34F5" w:rsidRDefault="007D7CFF" w:rsidP="001A0B07">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Servicios Personales por Pagar a Corto Plazo</w:t>
            </w:r>
          </w:p>
        </w:tc>
        <w:tc>
          <w:tcPr>
            <w:tcW w:w="1740" w:type="dxa"/>
            <w:tcBorders>
              <w:top w:val="nil"/>
              <w:left w:val="nil"/>
              <w:bottom w:val="single" w:sz="8" w:space="0" w:color="auto"/>
              <w:right w:val="single" w:sz="8" w:space="0" w:color="auto"/>
            </w:tcBorders>
            <w:shd w:val="clear" w:color="auto" w:fill="auto"/>
            <w:vAlign w:val="center"/>
          </w:tcPr>
          <w:p w14:paraId="66E9FFA5" w14:textId="36D63562" w:rsidR="007D7CFF" w:rsidRPr="00CA34F5" w:rsidRDefault="002A2DBF" w:rsidP="001A0B07">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608</w:t>
            </w:r>
            <w:r w:rsidR="00FA467D" w:rsidRPr="00CA34F5">
              <w:rPr>
                <w:rFonts w:ascii="Arial" w:eastAsia="Times New Roman" w:hAnsi="Arial" w:cs="Arial"/>
                <w:color w:val="000000"/>
                <w:lang w:eastAsia="es-MX"/>
              </w:rPr>
              <w:t>,080,643</w:t>
            </w:r>
          </w:p>
        </w:tc>
        <w:tc>
          <w:tcPr>
            <w:tcW w:w="850" w:type="dxa"/>
            <w:tcBorders>
              <w:top w:val="nil"/>
              <w:left w:val="nil"/>
              <w:bottom w:val="single" w:sz="8" w:space="0" w:color="auto"/>
              <w:right w:val="single" w:sz="8" w:space="0" w:color="auto"/>
            </w:tcBorders>
            <w:shd w:val="clear" w:color="auto" w:fill="auto"/>
            <w:vAlign w:val="center"/>
          </w:tcPr>
          <w:p w14:paraId="3A015341" w14:textId="6F10DEA3" w:rsidR="007D7CFF" w:rsidRPr="00CA34F5" w:rsidRDefault="005D19A9" w:rsidP="001A0B07">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07.93</w:t>
            </w:r>
          </w:p>
        </w:tc>
        <w:tc>
          <w:tcPr>
            <w:tcW w:w="2340" w:type="dxa"/>
            <w:vAlign w:val="bottom"/>
          </w:tcPr>
          <w:p w14:paraId="47FE3557" w14:textId="3820C543" w:rsidR="007D7CFF" w:rsidRPr="00CA34F5" w:rsidRDefault="007D7CFF" w:rsidP="007D7CFF">
            <w:pPr>
              <w:rPr>
                <w:rFonts w:ascii="Arial" w:hAnsi="Arial" w:cs="Arial"/>
              </w:rPr>
            </w:pPr>
          </w:p>
        </w:tc>
      </w:tr>
      <w:tr w:rsidR="007D7CFF" w:rsidRPr="00CA34F5" w14:paraId="7071DC9B" w14:textId="0C3780D6" w:rsidTr="001A0B07">
        <w:trPr>
          <w:trHeight w:val="376"/>
          <w:jc w:val="right"/>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DF7665C" w14:textId="662F8174" w:rsidR="007D7CFF" w:rsidRPr="00CA34F5" w:rsidRDefault="007D7CFF" w:rsidP="001A0B07">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Proveedores por Pagar a Corto Plazo</w:t>
            </w:r>
          </w:p>
        </w:tc>
        <w:tc>
          <w:tcPr>
            <w:tcW w:w="1740" w:type="dxa"/>
            <w:tcBorders>
              <w:top w:val="nil"/>
              <w:left w:val="nil"/>
              <w:bottom w:val="single" w:sz="8" w:space="0" w:color="auto"/>
              <w:right w:val="single" w:sz="8" w:space="0" w:color="auto"/>
            </w:tcBorders>
            <w:shd w:val="clear" w:color="auto" w:fill="auto"/>
            <w:vAlign w:val="center"/>
          </w:tcPr>
          <w:p w14:paraId="571E9A8E" w14:textId="3A0B010C" w:rsidR="007D7CFF" w:rsidRPr="00CA34F5" w:rsidRDefault="005A08FA" w:rsidP="001A0B07">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1,899</w:t>
            </w:r>
            <w:r w:rsidR="007D7CFF" w:rsidRPr="00CA34F5">
              <w:rPr>
                <w:rFonts w:ascii="Arial" w:eastAsia="Times New Roman" w:hAnsi="Arial" w:cs="Arial"/>
                <w:color w:val="000000"/>
                <w:lang w:eastAsia="es-MX"/>
              </w:rPr>
              <w:t>,4</w:t>
            </w:r>
            <w:r w:rsidRPr="00CA34F5">
              <w:rPr>
                <w:rFonts w:ascii="Arial" w:eastAsia="Times New Roman" w:hAnsi="Arial" w:cs="Arial"/>
                <w:color w:val="000000"/>
                <w:lang w:eastAsia="es-MX"/>
              </w:rPr>
              <w:t>02</w:t>
            </w:r>
            <w:r w:rsidR="007D7CFF" w:rsidRPr="00CA34F5">
              <w:rPr>
                <w:rFonts w:ascii="Arial" w:eastAsia="Times New Roman" w:hAnsi="Arial" w:cs="Arial"/>
                <w:color w:val="000000"/>
                <w:lang w:eastAsia="es-MX"/>
              </w:rPr>
              <w:t>,</w:t>
            </w:r>
            <w:r w:rsidRPr="00CA34F5">
              <w:rPr>
                <w:rFonts w:ascii="Arial" w:eastAsia="Times New Roman" w:hAnsi="Arial" w:cs="Arial"/>
                <w:color w:val="000000"/>
                <w:lang w:eastAsia="es-MX"/>
              </w:rPr>
              <w:t>48</w:t>
            </w:r>
            <w:r w:rsidR="007D7CFF" w:rsidRPr="00CA34F5">
              <w:rPr>
                <w:rFonts w:ascii="Arial" w:eastAsia="Times New Roman" w:hAnsi="Arial" w:cs="Arial"/>
                <w:color w:val="000000"/>
                <w:lang w:eastAsia="es-MX"/>
              </w:rPr>
              <w:t>7</w:t>
            </w:r>
          </w:p>
        </w:tc>
        <w:tc>
          <w:tcPr>
            <w:tcW w:w="850" w:type="dxa"/>
            <w:tcBorders>
              <w:top w:val="nil"/>
              <w:left w:val="nil"/>
              <w:bottom w:val="single" w:sz="8" w:space="0" w:color="auto"/>
              <w:right w:val="single" w:sz="8" w:space="0" w:color="auto"/>
            </w:tcBorders>
            <w:shd w:val="clear" w:color="auto" w:fill="auto"/>
            <w:vAlign w:val="center"/>
          </w:tcPr>
          <w:p w14:paraId="4C1C3032" w14:textId="64AA9BC4" w:rsidR="007D7CFF" w:rsidRPr="00CA34F5" w:rsidRDefault="005D19A9" w:rsidP="001A0B07">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24.77</w:t>
            </w:r>
          </w:p>
        </w:tc>
        <w:tc>
          <w:tcPr>
            <w:tcW w:w="2340" w:type="dxa"/>
            <w:vAlign w:val="bottom"/>
          </w:tcPr>
          <w:p w14:paraId="48564C43" w14:textId="5C3C7DCB" w:rsidR="007D7CFF" w:rsidRPr="00CA34F5" w:rsidRDefault="007D7CFF" w:rsidP="007D7CFF">
            <w:pPr>
              <w:rPr>
                <w:rFonts w:ascii="Arial" w:hAnsi="Arial" w:cs="Arial"/>
              </w:rPr>
            </w:pPr>
          </w:p>
        </w:tc>
      </w:tr>
      <w:tr w:rsidR="007D7CFF" w:rsidRPr="00CA34F5" w14:paraId="5A5EC2E1" w14:textId="0D4E1F91" w:rsidTr="001A0B07">
        <w:trPr>
          <w:trHeight w:val="255"/>
          <w:jc w:val="right"/>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291C78" w14:textId="04F92C92" w:rsidR="007D7CFF" w:rsidRPr="00CA34F5" w:rsidRDefault="007D7CFF" w:rsidP="001A0B07">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Contratistas por Obras Públicas por Pagar a Corto Plazo</w:t>
            </w:r>
          </w:p>
        </w:tc>
        <w:tc>
          <w:tcPr>
            <w:tcW w:w="1740" w:type="dxa"/>
            <w:tcBorders>
              <w:top w:val="nil"/>
              <w:left w:val="nil"/>
              <w:bottom w:val="single" w:sz="8" w:space="0" w:color="auto"/>
              <w:right w:val="single" w:sz="8" w:space="0" w:color="auto"/>
            </w:tcBorders>
            <w:shd w:val="clear" w:color="auto" w:fill="auto"/>
            <w:vAlign w:val="center"/>
          </w:tcPr>
          <w:p w14:paraId="533612AA" w14:textId="60872CF0" w:rsidR="007D7CFF" w:rsidRPr="00CA34F5" w:rsidRDefault="007D7CFF" w:rsidP="001A0B07">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19,288,936</w:t>
            </w:r>
          </w:p>
        </w:tc>
        <w:tc>
          <w:tcPr>
            <w:tcW w:w="850" w:type="dxa"/>
            <w:tcBorders>
              <w:top w:val="nil"/>
              <w:left w:val="nil"/>
              <w:bottom w:val="single" w:sz="8" w:space="0" w:color="auto"/>
              <w:right w:val="single" w:sz="8" w:space="0" w:color="auto"/>
            </w:tcBorders>
            <w:shd w:val="clear" w:color="auto" w:fill="auto"/>
            <w:vAlign w:val="center"/>
          </w:tcPr>
          <w:p w14:paraId="5C76F340" w14:textId="6400FFDA" w:rsidR="007D7CFF" w:rsidRPr="00CA34F5" w:rsidRDefault="007D7CFF" w:rsidP="001A0B07">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0.2</w:t>
            </w:r>
            <w:r w:rsidR="005D19A9" w:rsidRPr="00CA34F5">
              <w:rPr>
                <w:rFonts w:ascii="Arial" w:eastAsia="Times New Roman" w:hAnsi="Arial" w:cs="Arial"/>
                <w:color w:val="000000"/>
                <w:lang w:eastAsia="es-MX"/>
              </w:rPr>
              <w:t>5</w:t>
            </w:r>
          </w:p>
        </w:tc>
        <w:tc>
          <w:tcPr>
            <w:tcW w:w="2340" w:type="dxa"/>
            <w:vAlign w:val="bottom"/>
          </w:tcPr>
          <w:p w14:paraId="091DC8C2" w14:textId="17B2C883" w:rsidR="007D7CFF" w:rsidRPr="00CA34F5" w:rsidRDefault="007D7CFF" w:rsidP="007D7CFF">
            <w:pPr>
              <w:rPr>
                <w:rFonts w:ascii="Arial" w:hAnsi="Arial" w:cs="Arial"/>
              </w:rPr>
            </w:pPr>
          </w:p>
        </w:tc>
      </w:tr>
      <w:tr w:rsidR="007D7CFF" w:rsidRPr="00CA34F5" w14:paraId="2F4DD769" w14:textId="09ABBB0F" w:rsidTr="001A0B07">
        <w:trPr>
          <w:trHeight w:val="334"/>
          <w:jc w:val="right"/>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88C73FB" w14:textId="0011547F" w:rsidR="007D7CFF" w:rsidRPr="00CA34F5" w:rsidRDefault="007D7CFF" w:rsidP="001A0B07">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Transferencias Otorgadas por Pagar a Corto Plazo</w:t>
            </w:r>
          </w:p>
        </w:tc>
        <w:tc>
          <w:tcPr>
            <w:tcW w:w="1740" w:type="dxa"/>
            <w:tcBorders>
              <w:top w:val="nil"/>
              <w:left w:val="nil"/>
              <w:bottom w:val="single" w:sz="8" w:space="0" w:color="auto"/>
              <w:right w:val="single" w:sz="8" w:space="0" w:color="auto"/>
            </w:tcBorders>
            <w:shd w:val="clear" w:color="auto" w:fill="auto"/>
            <w:vAlign w:val="center"/>
          </w:tcPr>
          <w:p w14:paraId="4F4A52B4" w14:textId="5227DE28" w:rsidR="007D7CFF" w:rsidRPr="00CA34F5" w:rsidRDefault="007D7CFF" w:rsidP="001A0B07">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2,757,926</w:t>
            </w:r>
          </w:p>
        </w:tc>
        <w:tc>
          <w:tcPr>
            <w:tcW w:w="850" w:type="dxa"/>
            <w:tcBorders>
              <w:top w:val="nil"/>
              <w:left w:val="nil"/>
              <w:bottom w:val="single" w:sz="8" w:space="0" w:color="auto"/>
              <w:right w:val="single" w:sz="8" w:space="0" w:color="auto"/>
            </w:tcBorders>
            <w:shd w:val="clear" w:color="auto" w:fill="auto"/>
            <w:vAlign w:val="center"/>
          </w:tcPr>
          <w:p w14:paraId="71539A28" w14:textId="32F9DB47" w:rsidR="007D7CFF" w:rsidRPr="00CA34F5" w:rsidRDefault="005C16D4" w:rsidP="001A0B07">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0.04</w:t>
            </w:r>
          </w:p>
        </w:tc>
        <w:tc>
          <w:tcPr>
            <w:tcW w:w="2340" w:type="dxa"/>
            <w:vAlign w:val="bottom"/>
          </w:tcPr>
          <w:p w14:paraId="1C33D93C" w14:textId="40C3156B" w:rsidR="007D7CFF" w:rsidRPr="00CA34F5" w:rsidRDefault="007D7CFF" w:rsidP="007D7CFF">
            <w:pPr>
              <w:rPr>
                <w:rFonts w:ascii="Arial" w:hAnsi="Arial" w:cs="Arial"/>
              </w:rPr>
            </w:pPr>
          </w:p>
        </w:tc>
      </w:tr>
      <w:tr w:rsidR="007D7CFF" w:rsidRPr="00CA34F5" w14:paraId="7BD11A35" w14:textId="0147EDA5" w:rsidTr="001A0B07">
        <w:trPr>
          <w:trHeight w:val="249"/>
          <w:jc w:val="right"/>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B26432" w14:textId="0D7B1621" w:rsidR="007D7CFF" w:rsidRPr="00CA34F5" w:rsidRDefault="007D7CFF" w:rsidP="001A0B07">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Retenciones y Contribuciones por Pagar a Corto Plazo</w:t>
            </w:r>
          </w:p>
        </w:tc>
        <w:tc>
          <w:tcPr>
            <w:tcW w:w="1740" w:type="dxa"/>
            <w:tcBorders>
              <w:top w:val="nil"/>
              <w:left w:val="nil"/>
              <w:bottom w:val="single" w:sz="8" w:space="0" w:color="auto"/>
              <w:right w:val="single" w:sz="8" w:space="0" w:color="auto"/>
            </w:tcBorders>
            <w:shd w:val="clear" w:color="auto" w:fill="auto"/>
            <w:vAlign w:val="center"/>
          </w:tcPr>
          <w:p w14:paraId="46BA991F" w14:textId="4275A76A" w:rsidR="007D7CFF" w:rsidRPr="00CA34F5" w:rsidRDefault="00FA2FC9" w:rsidP="001A0B07">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1,158,278,141</w:t>
            </w:r>
          </w:p>
        </w:tc>
        <w:tc>
          <w:tcPr>
            <w:tcW w:w="850" w:type="dxa"/>
            <w:tcBorders>
              <w:top w:val="nil"/>
              <w:left w:val="nil"/>
              <w:bottom w:val="single" w:sz="8" w:space="0" w:color="auto"/>
              <w:right w:val="single" w:sz="8" w:space="0" w:color="auto"/>
            </w:tcBorders>
            <w:shd w:val="clear" w:color="auto" w:fill="auto"/>
            <w:vAlign w:val="center"/>
          </w:tcPr>
          <w:p w14:paraId="7F91149F" w14:textId="3A34E4A8" w:rsidR="007D7CFF" w:rsidRPr="00CA34F5" w:rsidRDefault="005D19A9" w:rsidP="001A0B07">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15.11</w:t>
            </w:r>
          </w:p>
        </w:tc>
        <w:tc>
          <w:tcPr>
            <w:tcW w:w="2340" w:type="dxa"/>
            <w:vAlign w:val="bottom"/>
          </w:tcPr>
          <w:p w14:paraId="3F7475B5" w14:textId="17197CD2" w:rsidR="007D7CFF" w:rsidRPr="00CA34F5" w:rsidRDefault="007D7CFF" w:rsidP="007D7CFF">
            <w:pPr>
              <w:rPr>
                <w:rFonts w:ascii="Arial" w:hAnsi="Arial" w:cs="Arial"/>
              </w:rPr>
            </w:pPr>
          </w:p>
        </w:tc>
      </w:tr>
      <w:tr w:rsidR="007D7CFF" w:rsidRPr="00CA34F5" w14:paraId="31793784" w14:textId="010DE3BC" w:rsidTr="001A0B07">
        <w:trPr>
          <w:trHeight w:val="238"/>
          <w:jc w:val="right"/>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FE76C9A" w14:textId="6ECAF3AF" w:rsidR="007D7CFF" w:rsidRPr="00CA34F5" w:rsidRDefault="007D7CFF" w:rsidP="001A0B07">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Devoluciones de la Ley de Ingresos por Pagar a Corto Plazo</w:t>
            </w:r>
          </w:p>
        </w:tc>
        <w:tc>
          <w:tcPr>
            <w:tcW w:w="1740" w:type="dxa"/>
            <w:tcBorders>
              <w:top w:val="nil"/>
              <w:left w:val="nil"/>
              <w:bottom w:val="single" w:sz="8" w:space="0" w:color="auto"/>
              <w:right w:val="single" w:sz="8" w:space="0" w:color="auto"/>
            </w:tcBorders>
            <w:shd w:val="clear" w:color="auto" w:fill="auto"/>
            <w:vAlign w:val="center"/>
          </w:tcPr>
          <w:p w14:paraId="0C3E017A" w14:textId="2FD627EC" w:rsidR="007D7CFF" w:rsidRPr="00CA34F5" w:rsidRDefault="007D7CFF" w:rsidP="001A0B07">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2,675,217</w:t>
            </w:r>
          </w:p>
        </w:tc>
        <w:tc>
          <w:tcPr>
            <w:tcW w:w="850" w:type="dxa"/>
            <w:tcBorders>
              <w:top w:val="nil"/>
              <w:left w:val="nil"/>
              <w:bottom w:val="single" w:sz="8" w:space="0" w:color="auto"/>
              <w:right w:val="single" w:sz="8" w:space="0" w:color="auto"/>
            </w:tcBorders>
            <w:shd w:val="clear" w:color="auto" w:fill="auto"/>
            <w:vAlign w:val="center"/>
          </w:tcPr>
          <w:p w14:paraId="41CB5B45" w14:textId="74E09B2B" w:rsidR="007D7CFF" w:rsidRPr="00CA34F5" w:rsidRDefault="005D19A9" w:rsidP="001A0B07">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0.04</w:t>
            </w:r>
          </w:p>
        </w:tc>
        <w:tc>
          <w:tcPr>
            <w:tcW w:w="2340" w:type="dxa"/>
            <w:vAlign w:val="bottom"/>
          </w:tcPr>
          <w:p w14:paraId="0CE662C4" w14:textId="47D63AB0" w:rsidR="007D7CFF" w:rsidRPr="00CA34F5" w:rsidRDefault="007D7CFF" w:rsidP="007D7CFF">
            <w:pPr>
              <w:rPr>
                <w:rFonts w:ascii="Arial" w:hAnsi="Arial" w:cs="Arial"/>
              </w:rPr>
            </w:pPr>
          </w:p>
        </w:tc>
      </w:tr>
      <w:tr w:rsidR="007D7CFF" w:rsidRPr="00CA34F5" w14:paraId="17A999C8" w14:textId="0C7B1659" w:rsidTr="001A0B07">
        <w:trPr>
          <w:trHeight w:val="419"/>
          <w:jc w:val="right"/>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538771" w14:textId="7FCF71EA" w:rsidR="007D7CFF" w:rsidRPr="00CA34F5" w:rsidRDefault="007D7CFF" w:rsidP="001A0B07">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Otras Cuentas por Pagar a Corto Plazo</w:t>
            </w:r>
          </w:p>
        </w:tc>
        <w:tc>
          <w:tcPr>
            <w:tcW w:w="1740" w:type="dxa"/>
            <w:tcBorders>
              <w:top w:val="nil"/>
              <w:left w:val="nil"/>
              <w:bottom w:val="single" w:sz="8" w:space="0" w:color="auto"/>
              <w:right w:val="single" w:sz="8" w:space="0" w:color="auto"/>
            </w:tcBorders>
            <w:shd w:val="clear" w:color="auto" w:fill="auto"/>
            <w:vAlign w:val="center"/>
          </w:tcPr>
          <w:p w14:paraId="297FAE47" w14:textId="7BA72C17" w:rsidR="007D7CFF" w:rsidRPr="00CA34F5" w:rsidRDefault="007D7CFF" w:rsidP="001A0B07">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3,976,299,668</w:t>
            </w:r>
          </w:p>
        </w:tc>
        <w:tc>
          <w:tcPr>
            <w:tcW w:w="850" w:type="dxa"/>
            <w:tcBorders>
              <w:top w:val="nil"/>
              <w:left w:val="nil"/>
              <w:bottom w:val="single" w:sz="8" w:space="0" w:color="auto"/>
              <w:right w:val="single" w:sz="8" w:space="0" w:color="auto"/>
            </w:tcBorders>
            <w:shd w:val="clear" w:color="auto" w:fill="auto"/>
            <w:vAlign w:val="center"/>
          </w:tcPr>
          <w:p w14:paraId="224DA46C" w14:textId="23466D3E" w:rsidR="007D7CFF" w:rsidRPr="00CA34F5" w:rsidRDefault="005D19A9" w:rsidP="001A0B07">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51.86</w:t>
            </w:r>
          </w:p>
        </w:tc>
        <w:tc>
          <w:tcPr>
            <w:tcW w:w="2340" w:type="dxa"/>
            <w:vAlign w:val="bottom"/>
          </w:tcPr>
          <w:p w14:paraId="6914FA2B" w14:textId="009646D6" w:rsidR="007D7CFF" w:rsidRPr="00CA34F5" w:rsidRDefault="007D7CFF" w:rsidP="007D7CFF">
            <w:pPr>
              <w:rPr>
                <w:rFonts w:ascii="Arial" w:hAnsi="Arial" w:cs="Arial"/>
              </w:rPr>
            </w:pPr>
          </w:p>
        </w:tc>
      </w:tr>
      <w:tr w:rsidR="001B1FA0" w:rsidRPr="00CA34F5" w14:paraId="003B2BFA" w14:textId="567D394D" w:rsidTr="00076273">
        <w:trPr>
          <w:trHeight w:val="340"/>
          <w:jc w:val="right"/>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07D3943" w14:textId="77777777" w:rsidR="001B1FA0" w:rsidRPr="00CA34F5" w:rsidRDefault="001B1FA0" w:rsidP="001A0B07">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Total</w:t>
            </w:r>
          </w:p>
        </w:tc>
        <w:tc>
          <w:tcPr>
            <w:tcW w:w="1740" w:type="dxa"/>
            <w:tcBorders>
              <w:top w:val="nil"/>
              <w:left w:val="nil"/>
              <w:bottom w:val="single" w:sz="8" w:space="0" w:color="auto"/>
              <w:right w:val="single" w:sz="8" w:space="0" w:color="auto"/>
            </w:tcBorders>
            <w:shd w:val="clear" w:color="auto" w:fill="auto"/>
            <w:vAlign w:val="center"/>
          </w:tcPr>
          <w:p w14:paraId="3F0AB49A" w14:textId="2764BB32" w:rsidR="001B1FA0" w:rsidRPr="001A0B07" w:rsidRDefault="00FA2FC9" w:rsidP="00076273">
            <w:pPr>
              <w:rPr>
                <w:rFonts w:ascii="Arial" w:hAnsi="Arial" w:cs="Arial"/>
                <w:b/>
                <w:color w:val="000000"/>
              </w:rPr>
            </w:pPr>
            <w:r w:rsidRPr="001A0B07">
              <w:rPr>
                <w:rFonts w:ascii="Arial" w:hAnsi="Arial" w:cs="Arial"/>
                <w:b/>
                <w:color w:val="000000"/>
              </w:rPr>
              <w:t>7,666,783,018</w:t>
            </w:r>
          </w:p>
        </w:tc>
        <w:tc>
          <w:tcPr>
            <w:tcW w:w="850" w:type="dxa"/>
            <w:tcBorders>
              <w:top w:val="nil"/>
              <w:left w:val="nil"/>
              <w:bottom w:val="single" w:sz="8" w:space="0" w:color="auto"/>
              <w:right w:val="single" w:sz="8" w:space="0" w:color="auto"/>
            </w:tcBorders>
            <w:shd w:val="clear" w:color="auto" w:fill="auto"/>
            <w:vAlign w:val="center"/>
          </w:tcPr>
          <w:p w14:paraId="18BF5C0D" w14:textId="1EDD9731" w:rsidR="001B1FA0" w:rsidRPr="001A0B07" w:rsidRDefault="001B1FA0" w:rsidP="001A0B07">
            <w:pPr>
              <w:spacing w:after="0" w:line="240" w:lineRule="auto"/>
              <w:rPr>
                <w:rFonts w:ascii="Arial" w:eastAsia="Times New Roman" w:hAnsi="Arial" w:cs="Arial"/>
                <w:b/>
                <w:bCs/>
                <w:color w:val="000000"/>
                <w:lang w:eastAsia="es-MX"/>
              </w:rPr>
            </w:pPr>
            <w:r w:rsidRPr="001A0B07">
              <w:rPr>
                <w:rFonts w:ascii="Arial" w:eastAsia="Times New Roman" w:hAnsi="Arial" w:cs="Arial"/>
                <w:b/>
                <w:bCs/>
                <w:color w:val="000000"/>
                <w:lang w:eastAsia="es-MX"/>
              </w:rPr>
              <w:t>100</w:t>
            </w:r>
          </w:p>
        </w:tc>
        <w:tc>
          <w:tcPr>
            <w:tcW w:w="2340" w:type="dxa"/>
          </w:tcPr>
          <w:p w14:paraId="1D0C15BE" w14:textId="479A7BDA" w:rsidR="001B1FA0" w:rsidRPr="00CA34F5" w:rsidRDefault="001B1FA0" w:rsidP="001A0B07">
            <w:pPr>
              <w:rPr>
                <w:rFonts w:ascii="Arial" w:hAnsi="Arial" w:cs="Arial"/>
              </w:rPr>
            </w:pPr>
          </w:p>
        </w:tc>
      </w:tr>
    </w:tbl>
    <w:p w14:paraId="45E66C27" w14:textId="77777777" w:rsidR="00355825" w:rsidRPr="00CA34F5" w:rsidRDefault="00355825" w:rsidP="000A4C31">
      <w:pPr>
        <w:spacing w:after="0" w:line="240" w:lineRule="auto"/>
        <w:ind w:right="49"/>
        <w:jc w:val="both"/>
        <w:rPr>
          <w:rFonts w:ascii="Arial" w:eastAsia="DIN Next LT Pro Condensed" w:hAnsi="Arial" w:cs="Arial"/>
        </w:rPr>
      </w:pPr>
    </w:p>
    <w:p w14:paraId="3CC25A95" w14:textId="77777777" w:rsidR="004F3379" w:rsidRPr="00CA34F5" w:rsidRDefault="004F3379" w:rsidP="000A4C31">
      <w:pPr>
        <w:spacing w:after="0" w:line="240" w:lineRule="auto"/>
        <w:ind w:right="49"/>
        <w:jc w:val="both"/>
        <w:rPr>
          <w:rFonts w:ascii="Arial" w:eastAsia="DIN Next LT Pro Condensed" w:hAnsi="Arial" w:cs="Arial"/>
          <w:spacing w:val="8"/>
        </w:rPr>
      </w:pPr>
      <w:r w:rsidRPr="00CA34F5">
        <w:rPr>
          <w:rFonts w:ascii="Arial" w:eastAsia="DIN Next LT Pro Condensed" w:hAnsi="Arial" w:cs="Arial"/>
        </w:rPr>
        <w:t>Comentarios</w:t>
      </w:r>
      <w:r w:rsidRPr="00CA34F5">
        <w:rPr>
          <w:rFonts w:ascii="Arial" w:eastAsia="DIN Next LT Pro Condensed" w:hAnsi="Arial" w:cs="Arial"/>
          <w:spacing w:val="17"/>
        </w:rPr>
        <w:t xml:space="preserve"> </w:t>
      </w:r>
      <w:r w:rsidRPr="00CA34F5">
        <w:rPr>
          <w:rFonts w:ascii="Arial" w:eastAsia="DIN Next LT Pro Condensed" w:hAnsi="Arial" w:cs="Arial"/>
        </w:rPr>
        <w:t>a</w:t>
      </w:r>
      <w:r w:rsidRPr="00CA34F5">
        <w:rPr>
          <w:rFonts w:ascii="Arial" w:eastAsia="DIN Next LT Pro Condensed" w:hAnsi="Arial" w:cs="Arial"/>
          <w:spacing w:val="3"/>
        </w:rPr>
        <w:t xml:space="preserve"> </w:t>
      </w:r>
      <w:r w:rsidRPr="00CA34F5">
        <w:rPr>
          <w:rFonts w:ascii="Arial" w:eastAsia="DIN Next LT Pro Condensed" w:hAnsi="Arial" w:cs="Arial"/>
        </w:rPr>
        <w:t>los</w:t>
      </w:r>
      <w:r w:rsidRPr="00CA34F5">
        <w:rPr>
          <w:rFonts w:ascii="Arial" w:eastAsia="DIN Next LT Pro Condensed" w:hAnsi="Arial" w:cs="Arial"/>
          <w:spacing w:val="5"/>
        </w:rPr>
        <w:t xml:space="preserve"> </w:t>
      </w:r>
      <w:r w:rsidRPr="00CA34F5">
        <w:rPr>
          <w:rFonts w:ascii="Arial" w:eastAsia="DIN Next LT Pro Condensed" w:hAnsi="Arial" w:cs="Arial"/>
        </w:rPr>
        <w:t>saldos</w:t>
      </w:r>
      <w:r w:rsidRPr="00CA34F5">
        <w:rPr>
          <w:rFonts w:ascii="Arial" w:eastAsia="DIN Next LT Pro Condensed" w:hAnsi="Arial" w:cs="Arial"/>
          <w:spacing w:val="10"/>
        </w:rPr>
        <w:t xml:space="preserve"> </w:t>
      </w:r>
      <w:r w:rsidRPr="00CA34F5">
        <w:rPr>
          <w:rFonts w:ascii="Arial" w:eastAsia="DIN Next LT Pro Condensed" w:hAnsi="Arial" w:cs="Arial"/>
        </w:rPr>
        <w:t>que</w:t>
      </w:r>
      <w:r w:rsidRPr="00CA34F5">
        <w:rPr>
          <w:rFonts w:ascii="Arial" w:eastAsia="DIN Next LT Pro Condensed" w:hAnsi="Arial" w:cs="Arial"/>
          <w:spacing w:val="6"/>
        </w:rPr>
        <w:t xml:space="preserve"> </w:t>
      </w:r>
      <w:r w:rsidRPr="00CA34F5">
        <w:rPr>
          <w:rFonts w:ascii="Arial" w:eastAsia="DIN Next LT Pro Condensed" w:hAnsi="Arial" w:cs="Arial"/>
        </w:rPr>
        <w:t>integran</w:t>
      </w:r>
      <w:r w:rsidRPr="00CA34F5">
        <w:rPr>
          <w:rFonts w:ascii="Arial" w:eastAsia="DIN Next LT Pro Condensed" w:hAnsi="Arial" w:cs="Arial"/>
          <w:spacing w:val="12"/>
        </w:rPr>
        <w:t xml:space="preserve"> </w:t>
      </w:r>
      <w:r w:rsidRPr="00CA34F5">
        <w:rPr>
          <w:rFonts w:ascii="Arial" w:eastAsia="DIN Next LT Pro Condensed" w:hAnsi="Arial" w:cs="Arial"/>
        </w:rPr>
        <w:t>este rubro</w:t>
      </w:r>
      <w:r w:rsidRPr="00CA34F5">
        <w:rPr>
          <w:rFonts w:ascii="Arial" w:eastAsia="DIN Next LT Pro Condensed" w:hAnsi="Arial" w:cs="Arial"/>
          <w:spacing w:val="8"/>
        </w:rPr>
        <w:t>:</w:t>
      </w:r>
    </w:p>
    <w:p w14:paraId="077D01B3" w14:textId="77777777" w:rsidR="0040344C" w:rsidRPr="00CA34F5" w:rsidRDefault="0040344C" w:rsidP="000A4C31">
      <w:pPr>
        <w:spacing w:after="0" w:line="240" w:lineRule="auto"/>
        <w:ind w:right="49"/>
        <w:jc w:val="both"/>
        <w:rPr>
          <w:rFonts w:ascii="Arial" w:eastAsia="DIN Next LT Pro Condensed" w:hAnsi="Arial" w:cs="Arial"/>
          <w:spacing w:val="8"/>
        </w:rPr>
      </w:pPr>
    </w:p>
    <w:p w14:paraId="42C28BAE" w14:textId="77777777" w:rsidR="0040344C" w:rsidRPr="00CA34F5" w:rsidRDefault="0040344C" w:rsidP="0040344C">
      <w:pPr>
        <w:spacing w:line="240" w:lineRule="auto"/>
        <w:jc w:val="both"/>
        <w:rPr>
          <w:rFonts w:ascii="Arial" w:eastAsia="Times New Roman" w:hAnsi="Arial" w:cs="Arial"/>
          <w:b/>
          <w:color w:val="000000"/>
          <w:lang w:eastAsia="es-MX"/>
        </w:rPr>
      </w:pPr>
      <w:r w:rsidRPr="00CA34F5">
        <w:rPr>
          <w:rFonts w:ascii="Arial" w:eastAsia="Times New Roman" w:hAnsi="Arial" w:cs="Arial"/>
          <w:b/>
          <w:color w:val="000000"/>
          <w:lang w:eastAsia="es-MX"/>
        </w:rPr>
        <w:t>Servicios Personales por Pagar a Corto plazo $608</w:t>
      </w:r>
      <w:proofErr w:type="gramStart"/>
      <w:r w:rsidRPr="00CA34F5">
        <w:rPr>
          <w:rFonts w:ascii="Arial" w:eastAsia="Times New Roman" w:hAnsi="Arial" w:cs="Arial"/>
          <w:b/>
          <w:color w:val="000000"/>
          <w:lang w:eastAsia="es-MX"/>
        </w:rPr>
        <w:t>,080,643</w:t>
      </w:r>
      <w:proofErr w:type="gramEnd"/>
    </w:p>
    <w:p w14:paraId="3C755952" w14:textId="578135DD" w:rsidR="0040344C" w:rsidRPr="00CA34F5" w:rsidRDefault="0040344C" w:rsidP="0040344C">
      <w:pPr>
        <w:spacing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 xml:space="preserve">Esta cuenta se integra por Remuneración por Pagar al Personal de Carácter Permanente </w:t>
      </w:r>
      <w:r w:rsidR="006F585F" w:rsidRPr="00CA34F5">
        <w:rPr>
          <w:rFonts w:ascii="Arial" w:eastAsia="Times New Roman" w:hAnsi="Arial" w:cs="Arial"/>
          <w:color w:val="000000"/>
          <w:lang w:eastAsia="es-MX"/>
        </w:rPr>
        <w:t xml:space="preserve">por la </w:t>
      </w:r>
      <w:r w:rsidR="00F9181C">
        <w:rPr>
          <w:rFonts w:ascii="Arial" w:eastAsia="Times New Roman" w:hAnsi="Arial" w:cs="Arial"/>
          <w:color w:val="000000"/>
          <w:lang w:eastAsia="es-MX"/>
        </w:rPr>
        <w:t xml:space="preserve">cantidad de $31,760,511; más </w:t>
      </w:r>
      <w:r w:rsidRPr="00CA34F5">
        <w:rPr>
          <w:rFonts w:ascii="Arial" w:eastAsia="Times New Roman" w:hAnsi="Arial" w:cs="Arial"/>
          <w:color w:val="000000"/>
          <w:lang w:eastAsia="es-MX"/>
        </w:rPr>
        <w:t xml:space="preserve"> Remuneración por Pagar al Personal de Carác</w:t>
      </w:r>
      <w:r w:rsidR="000F7A5A" w:rsidRPr="00CA34F5">
        <w:rPr>
          <w:rFonts w:ascii="Arial" w:eastAsia="Times New Roman" w:hAnsi="Arial" w:cs="Arial"/>
          <w:color w:val="000000"/>
          <w:lang w:eastAsia="es-MX"/>
        </w:rPr>
        <w:t>ter Transitorio por</w:t>
      </w:r>
      <w:r w:rsidRPr="00CA34F5">
        <w:rPr>
          <w:rFonts w:ascii="Arial" w:eastAsia="Times New Roman" w:hAnsi="Arial" w:cs="Arial"/>
          <w:color w:val="000000"/>
          <w:lang w:eastAsia="es-MX"/>
        </w:rPr>
        <w:t xml:space="preserve"> $5,964,815</w:t>
      </w:r>
      <w:r w:rsidR="009847C1" w:rsidRPr="00CA34F5">
        <w:rPr>
          <w:rFonts w:ascii="Arial" w:eastAsia="Times New Roman" w:hAnsi="Arial" w:cs="Arial"/>
          <w:color w:val="000000"/>
          <w:lang w:eastAsia="es-MX"/>
        </w:rPr>
        <w:t xml:space="preserve"> de </w:t>
      </w:r>
      <w:r w:rsidRPr="00CA34F5">
        <w:rPr>
          <w:rFonts w:ascii="Arial" w:eastAsia="Times New Roman" w:hAnsi="Arial" w:cs="Arial"/>
          <w:color w:val="000000"/>
          <w:lang w:eastAsia="es-MX"/>
        </w:rPr>
        <w:t xml:space="preserve">nóminas </w:t>
      </w:r>
      <w:r w:rsidR="00076273">
        <w:rPr>
          <w:rFonts w:ascii="Arial" w:eastAsia="Times New Roman" w:hAnsi="Arial" w:cs="Arial"/>
          <w:color w:val="000000"/>
          <w:lang w:eastAsia="es-MX"/>
        </w:rPr>
        <w:t>que</w:t>
      </w:r>
      <w:r w:rsidRPr="00CA34F5">
        <w:rPr>
          <w:rFonts w:ascii="Arial" w:eastAsia="Times New Roman" w:hAnsi="Arial" w:cs="Arial"/>
          <w:color w:val="000000"/>
          <w:lang w:eastAsia="es-MX"/>
        </w:rPr>
        <w:t xml:space="preserve"> fueron pagadas y que a la fecha del cierre se en</w:t>
      </w:r>
      <w:r w:rsidR="00076273">
        <w:rPr>
          <w:rFonts w:ascii="Arial" w:eastAsia="Times New Roman" w:hAnsi="Arial" w:cs="Arial"/>
          <w:color w:val="000000"/>
          <w:lang w:eastAsia="es-MX"/>
        </w:rPr>
        <w:t>cuen</w:t>
      </w:r>
      <w:r w:rsidR="00DA242B">
        <w:rPr>
          <w:rFonts w:ascii="Arial" w:eastAsia="Times New Roman" w:hAnsi="Arial" w:cs="Arial"/>
          <w:color w:val="000000"/>
          <w:lang w:eastAsia="es-MX"/>
        </w:rPr>
        <w:t>tran en proceso de comprobación</w:t>
      </w:r>
      <w:r w:rsidR="00F9181C">
        <w:rPr>
          <w:rFonts w:ascii="Arial" w:eastAsia="Times New Roman" w:hAnsi="Arial" w:cs="Arial"/>
          <w:color w:val="000000"/>
          <w:lang w:eastAsia="es-MX"/>
        </w:rPr>
        <w:t xml:space="preserve">; más  </w:t>
      </w:r>
      <w:r w:rsidRPr="00CA34F5">
        <w:rPr>
          <w:rFonts w:ascii="Arial" w:eastAsia="Times New Roman" w:hAnsi="Arial" w:cs="Arial"/>
          <w:color w:val="000000"/>
          <w:lang w:eastAsia="es-MX"/>
        </w:rPr>
        <w:t xml:space="preserve">Servicios Personales </w:t>
      </w:r>
      <w:r w:rsidR="00F9181C">
        <w:rPr>
          <w:rFonts w:ascii="Arial" w:eastAsia="Times New Roman" w:hAnsi="Arial" w:cs="Arial"/>
          <w:color w:val="000000"/>
          <w:lang w:eastAsia="es-MX"/>
        </w:rPr>
        <w:t xml:space="preserve">de </w:t>
      </w:r>
      <w:r w:rsidRPr="00CA34F5">
        <w:rPr>
          <w:rFonts w:ascii="Arial" w:eastAsia="Times New Roman" w:hAnsi="Arial" w:cs="Arial"/>
          <w:color w:val="000000"/>
          <w:lang w:eastAsia="es-MX"/>
        </w:rPr>
        <w:t xml:space="preserve">Ejercicios Anteriores </w:t>
      </w:r>
      <w:r w:rsidR="00F9181C">
        <w:rPr>
          <w:rFonts w:ascii="Arial" w:eastAsia="Times New Roman" w:hAnsi="Arial" w:cs="Arial"/>
          <w:color w:val="000000"/>
          <w:lang w:eastAsia="es-MX"/>
        </w:rPr>
        <w:t>por</w:t>
      </w:r>
      <w:r w:rsidR="00DA242B">
        <w:rPr>
          <w:rFonts w:ascii="Arial" w:eastAsia="Times New Roman" w:hAnsi="Arial" w:cs="Arial"/>
          <w:color w:val="000000"/>
          <w:lang w:eastAsia="es-MX"/>
        </w:rPr>
        <w:t xml:space="preserve"> $570,297,740  los cuales </w:t>
      </w:r>
      <w:r w:rsidRPr="00CA34F5">
        <w:rPr>
          <w:rFonts w:ascii="Arial" w:eastAsia="Times New Roman" w:hAnsi="Arial" w:cs="Arial"/>
          <w:color w:val="000000"/>
          <w:lang w:eastAsia="es-MX"/>
        </w:rPr>
        <w:t xml:space="preserve"> </w:t>
      </w:r>
      <w:r w:rsidRPr="00CA34F5">
        <w:rPr>
          <w:rFonts w:ascii="Arial" w:eastAsia="Times New Roman" w:hAnsi="Arial" w:cs="Arial"/>
          <w:color w:val="000000"/>
          <w:lang w:eastAsia="es-MX"/>
        </w:rPr>
        <w:lastRenderedPageBreak/>
        <w:t>se encuentran en proce</w:t>
      </w:r>
      <w:r w:rsidR="00DA242B">
        <w:rPr>
          <w:rFonts w:ascii="Arial" w:eastAsia="Times New Roman" w:hAnsi="Arial" w:cs="Arial"/>
          <w:color w:val="000000"/>
          <w:lang w:eastAsia="es-MX"/>
        </w:rPr>
        <w:t>so de revisión</w:t>
      </w:r>
      <w:r w:rsidR="003306E2">
        <w:rPr>
          <w:rFonts w:ascii="Arial" w:eastAsia="Times New Roman" w:hAnsi="Arial" w:cs="Arial"/>
          <w:color w:val="000000"/>
          <w:lang w:eastAsia="es-MX"/>
        </w:rPr>
        <w:t xml:space="preserve"> y depuración</w:t>
      </w:r>
      <w:r w:rsidR="00F9181C">
        <w:rPr>
          <w:rFonts w:ascii="Arial" w:eastAsia="Times New Roman" w:hAnsi="Arial" w:cs="Arial"/>
          <w:color w:val="000000"/>
          <w:lang w:eastAsia="es-MX"/>
        </w:rPr>
        <w:t xml:space="preserve"> más </w:t>
      </w:r>
      <w:r w:rsidRPr="00CA34F5">
        <w:rPr>
          <w:rFonts w:ascii="Arial" w:eastAsia="Times New Roman" w:hAnsi="Arial" w:cs="Arial"/>
          <w:color w:val="000000"/>
          <w:lang w:eastAsia="es-MX"/>
        </w:rPr>
        <w:t>Otras Prestaciones Sociales y Ec</w:t>
      </w:r>
      <w:r w:rsidR="00F9181C">
        <w:rPr>
          <w:rFonts w:ascii="Arial" w:eastAsia="Times New Roman" w:hAnsi="Arial" w:cs="Arial"/>
          <w:color w:val="000000"/>
          <w:lang w:eastAsia="es-MX"/>
        </w:rPr>
        <w:t xml:space="preserve">onómicas por </w:t>
      </w:r>
      <w:r w:rsidRPr="00CA34F5">
        <w:rPr>
          <w:rFonts w:ascii="Arial" w:eastAsia="Times New Roman" w:hAnsi="Arial" w:cs="Arial"/>
          <w:color w:val="000000"/>
          <w:lang w:eastAsia="es-MX"/>
        </w:rPr>
        <w:t xml:space="preserve"> $57,577 </w:t>
      </w:r>
      <w:r w:rsidR="00F9181C">
        <w:rPr>
          <w:rFonts w:ascii="Arial" w:eastAsia="Times New Roman" w:hAnsi="Arial" w:cs="Arial"/>
          <w:color w:val="000000"/>
          <w:lang w:eastAsia="es-MX"/>
        </w:rPr>
        <w:t>que de igual m</w:t>
      </w:r>
      <w:r w:rsidR="007E01E2">
        <w:rPr>
          <w:rFonts w:ascii="Arial" w:eastAsia="Times New Roman" w:hAnsi="Arial" w:cs="Arial"/>
          <w:color w:val="000000"/>
          <w:lang w:eastAsia="es-MX"/>
        </w:rPr>
        <w:t>an</w:t>
      </w:r>
      <w:r w:rsidR="00F9181C">
        <w:rPr>
          <w:rFonts w:ascii="Arial" w:eastAsia="Times New Roman" w:hAnsi="Arial" w:cs="Arial"/>
          <w:color w:val="000000"/>
          <w:lang w:eastAsia="es-MX"/>
        </w:rPr>
        <w:t xml:space="preserve">era se encuentran en </w:t>
      </w:r>
      <w:r w:rsidR="003306E2">
        <w:rPr>
          <w:rFonts w:ascii="Arial" w:eastAsia="Times New Roman" w:hAnsi="Arial" w:cs="Arial"/>
          <w:color w:val="000000"/>
          <w:lang w:eastAsia="es-MX"/>
        </w:rPr>
        <w:t xml:space="preserve"> revisión y depuración.</w:t>
      </w:r>
    </w:p>
    <w:p w14:paraId="7CF06F1C" w14:textId="77777777" w:rsidR="0040344C" w:rsidRPr="00CA34F5" w:rsidRDefault="0040344C" w:rsidP="0040344C">
      <w:pPr>
        <w:spacing w:line="240" w:lineRule="auto"/>
        <w:jc w:val="both"/>
        <w:rPr>
          <w:rFonts w:ascii="Arial" w:eastAsia="Times New Roman" w:hAnsi="Arial" w:cs="Arial"/>
          <w:b/>
          <w:color w:val="000000"/>
          <w:lang w:eastAsia="es-MX"/>
        </w:rPr>
      </w:pPr>
      <w:r w:rsidRPr="00CA34F5">
        <w:rPr>
          <w:rFonts w:ascii="Arial" w:eastAsia="Times New Roman" w:hAnsi="Arial" w:cs="Arial"/>
          <w:b/>
          <w:color w:val="000000"/>
          <w:lang w:eastAsia="es-MX"/>
        </w:rPr>
        <w:t>Proveedores por Pagar a Corto plazo por $1</w:t>
      </w:r>
      <w:proofErr w:type="gramStart"/>
      <w:r w:rsidRPr="00CA34F5">
        <w:rPr>
          <w:rFonts w:ascii="Arial" w:eastAsia="Times New Roman" w:hAnsi="Arial" w:cs="Arial"/>
          <w:b/>
          <w:color w:val="000000"/>
          <w:lang w:eastAsia="es-MX"/>
        </w:rPr>
        <w:t>,899,402,487</w:t>
      </w:r>
      <w:proofErr w:type="gramEnd"/>
    </w:p>
    <w:p w14:paraId="2EE37A96" w14:textId="77777777" w:rsidR="0040344C" w:rsidRPr="00CA34F5" w:rsidRDefault="0040344C" w:rsidP="0040344C">
      <w:pPr>
        <w:spacing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 xml:space="preserve">Esta cuenta se integra de la siguiente manera: </w:t>
      </w:r>
    </w:p>
    <w:p w14:paraId="7AF774DC" w14:textId="0EB8759D" w:rsidR="0040344C" w:rsidRPr="00CA34F5" w:rsidRDefault="0040344C" w:rsidP="0040344C">
      <w:pPr>
        <w:spacing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Proveedores</w:t>
      </w:r>
      <w:r w:rsidR="00F96743" w:rsidRPr="00CA34F5">
        <w:rPr>
          <w:rFonts w:ascii="Arial" w:eastAsia="Times New Roman" w:hAnsi="Arial" w:cs="Arial"/>
          <w:color w:val="000000"/>
          <w:lang w:eastAsia="es-MX"/>
        </w:rPr>
        <w:t xml:space="preserve"> </w:t>
      </w:r>
      <w:r w:rsidRPr="00CA34F5">
        <w:rPr>
          <w:rFonts w:ascii="Arial" w:eastAsia="Times New Roman" w:hAnsi="Arial" w:cs="Arial"/>
          <w:color w:val="000000"/>
          <w:lang w:eastAsia="es-MX"/>
        </w:rPr>
        <w:t xml:space="preserve">por Pagar </w:t>
      </w:r>
      <w:r w:rsidR="00797A03">
        <w:rPr>
          <w:rFonts w:ascii="Arial" w:eastAsia="Times New Roman" w:hAnsi="Arial" w:cs="Arial"/>
          <w:color w:val="000000"/>
          <w:lang w:eastAsia="es-MX"/>
        </w:rPr>
        <w:t xml:space="preserve">de </w:t>
      </w:r>
      <w:r w:rsidRPr="00CA34F5">
        <w:rPr>
          <w:rFonts w:ascii="Arial" w:eastAsia="Times New Roman" w:hAnsi="Arial" w:cs="Arial"/>
          <w:color w:val="000000"/>
          <w:lang w:eastAsia="es-MX"/>
        </w:rPr>
        <w:t>Ejercicios Anteriore</w:t>
      </w:r>
      <w:r w:rsidR="00EE32B5">
        <w:rPr>
          <w:rFonts w:ascii="Arial" w:eastAsia="Times New Roman" w:hAnsi="Arial" w:cs="Arial"/>
          <w:color w:val="000000"/>
          <w:lang w:eastAsia="es-MX"/>
        </w:rPr>
        <w:t>s</w:t>
      </w:r>
      <w:r w:rsidR="003306E2">
        <w:rPr>
          <w:rFonts w:ascii="Arial" w:eastAsia="Times New Roman" w:hAnsi="Arial" w:cs="Arial"/>
          <w:color w:val="000000"/>
          <w:lang w:eastAsia="es-MX"/>
        </w:rPr>
        <w:t xml:space="preserve"> (2005 al 2015) por</w:t>
      </w:r>
      <w:r w:rsidR="00EE32B5">
        <w:rPr>
          <w:rFonts w:ascii="Arial" w:eastAsia="Times New Roman" w:hAnsi="Arial" w:cs="Arial"/>
          <w:color w:val="000000"/>
          <w:lang w:eastAsia="es-MX"/>
        </w:rPr>
        <w:t xml:space="preserve"> $1</w:t>
      </w:r>
      <w:proofErr w:type="gramStart"/>
      <w:r w:rsidR="00EE32B5">
        <w:rPr>
          <w:rFonts w:ascii="Arial" w:eastAsia="Times New Roman" w:hAnsi="Arial" w:cs="Arial"/>
          <w:color w:val="000000"/>
          <w:lang w:eastAsia="es-MX"/>
        </w:rPr>
        <w:t>,129,792,550</w:t>
      </w:r>
      <w:proofErr w:type="gramEnd"/>
      <w:r w:rsidR="00EE32B5">
        <w:rPr>
          <w:rFonts w:ascii="Arial" w:eastAsia="Times New Roman" w:hAnsi="Arial" w:cs="Arial"/>
          <w:color w:val="000000"/>
          <w:lang w:eastAsia="es-MX"/>
        </w:rPr>
        <w:t xml:space="preserve">, </w:t>
      </w:r>
      <w:r w:rsidR="0000019A">
        <w:rPr>
          <w:rFonts w:ascii="Arial" w:eastAsia="Times New Roman" w:hAnsi="Arial" w:cs="Arial"/>
          <w:color w:val="000000"/>
          <w:lang w:eastAsia="es-MX"/>
        </w:rPr>
        <w:t xml:space="preserve">pendientes de pago y </w:t>
      </w:r>
      <w:r w:rsidR="00797A03">
        <w:rPr>
          <w:rFonts w:ascii="Arial" w:eastAsia="Times New Roman" w:hAnsi="Arial" w:cs="Arial"/>
          <w:color w:val="000000"/>
          <w:lang w:eastAsia="es-MX"/>
        </w:rPr>
        <w:t>representa</w:t>
      </w:r>
      <w:r w:rsidR="00EE32B5">
        <w:rPr>
          <w:rFonts w:ascii="Arial" w:eastAsia="Times New Roman" w:hAnsi="Arial" w:cs="Arial"/>
          <w:color w:val="000000"/>
          <w:lang w:eastAsia="es-MX"/>
        </w:rPr>
        <w:t>n</w:t>
      </w:r>
      <w:r w:rsidR="00797A03">
        <w:rPr>
          <w:rFonts w:ascii="Arial" w:eastAsia="Times New Roman" w:hAnsi="Arial" w:cs="Arial"/>
          <w:color w:val="000000"/>
          <w:lang w:eastAsia="es-MX"/>
        </w:rPr>
        <w:t xml:space="preserve"> el 59.48</w:t>
      </w:r>
      <w:r w:rsidR="004356E8">
        <w:rPr>
          <w:rFonts w:ascii="Arial" w:eastAsia="Times New Roman" w:hAnsi="Arial" w:cs="Arial"/>
          <w:color w:val="000000"/>
          <w:lang w:eastAsia="es-MX"/>
        </w:rPr>
        <w:t>%;</w:t>
      </w:r>
      <w:r w:rsidRPr="00CA34F5">
        <w:rPr>
          <w:rFonts w:ascii="Arial" w:eastAsia="Times New Roman" w:hAnsi="Arial" w:cs="Arial"/>
          <w:color w:val="000000"/>
          <w:lang w:eastAsia="es-MX"/>
        </w:rPr>
        <w:t xml:space="preserve"> su de</w:t>
      </w:r>
      <w:r w:rsidR="00797A03">
        <w:rPr>
          <w:rFonts w:ascii="Arial" w:eastAsia="Times New Roman" w:hAnsi="Arial" w:cs="Arial"/>
          <w:color w:val="000000"/>
          <w:lang w:eastAsia="es-MX"/>
        </w:rPr>
        <w:t xml:space="preserve">sagregación de vencimiento es mayor a </w:t>
      </w:r>
      <w:r w:rsidR="00F911E0">
        <w:rPr>
          <w:rFonts w:ascii="Arial" w:eastAsia="Times New Roman" w:hAnsi="Arial" w:cs="Arial"/>
          <w:color w:val="000000"/>
          <w:lang w:eastAsia="es-MX"/>
        </w:rPr>
        <w:t xml:space="preserve"> 365 días; </w:t>
      </w:r>
      <w:r w:rsidR="00DB168B">
        <w:rPr>
          <w:rFonts w:ascii="Arial" w:eastAsia="Times New Roman" w:hAnsi="Arial" w:cs="Arial"/>
          <w:color w:val="000000"/>
          <w:lang w:eastAsia="es-MX"/>
        </w:rPr>
        <w:t xml:space="preserve"> más </w:t>
      </w:r>
      <w:r w:rsidRPr="00CA34F5">
        <w:rPr>
          <w:rFonts w:ascii="Arial" w:eastAsia="Times New Roman" w:hAnsi="Arial" w:cs="Arial"/>
          <w:color w:val="000000"/>
          <w:lang w:eastAsia="es-MX"/>
        </w:rPr>
        <w:t>Proveedores por Adquisición de Bienes y Contratación de Servicios por $769,609,937</w:t>
      </w:r>
      <w:r w:rsidR="00797A03">
        <w:rPr>
          <w:rFonts w:ascii="Arial" w:eastAsia="Times New Roman" w:hAnsi="Arial" w:cs="Arial"/>
          <w:color w:val="000000"/>
          <w:lang w:eastAsia="es-MX"/>
        </w:rPr>
        <w:t xml:space="preserve"> representa el 40.52%</w:t>
      </w:r>
      <w:r w:rsidRPr="00CA34F5">
        <w:rPr>
          <w:rFonts w:ascii="Arial" w:eastAsia="Times New Roman" w:hAnsi="Arial" w:cs="Arial"/>
          <w:color w:val="000000"/>
          <w:lang w:eastAsia="es-MX"/>
        </w:rPr>
        <w:t xml:space="preserve"> corresponde a devengos de diversos proveedores del ejercicio actual</w:t>
      </w:r>
      <w:r w:rsidR="004356E8">
        <w:rPr>
          <w:rFonts w:ascii="Arial" w:eastAsia="Times New Roman" w:hAnsi="Arial" w:cs="Arial"/>
          <w:color w:val="000000"/>
          <w:lang w:eastAsia="es-MX"/>
        </w:rPr>
        <w:t xml:space="preserve">, los cuales se pagarán en el </w:t>
      </w:r>
      <w:r w:rsidRPr="00CA34F5">
        <w:rPr>
          <w:rFonts w:ascii="Arial" w:eastAsia="Times New Roman" w:hAnsi="Arial" w:cs="Arial"/>
          <w:color w:val="000000"/>
          <w:lang w:eastAsia="es-MX"/>
        </w:rPr>
        <w:t>primer trimestre de 2022.</w:t>
      </w:r>
    </w:p>
    <w:p w14:paraId="2C199962" w14:textId="77777777" w:rsidR="006C0A02" w:rsidRDefault="006C0A02" w:rsidP="0040344C">
      <w:pPr>
        <w:spacing w:line="240" w:lineRule="auto"/>
        <w:jc w:val="both"/>
        <w:rPr>
          <w:rFonts w:ascii="Arial" w:eastAsia="Times New Roman" w:hAnsi="Arial" w:cs="Arial"/>
          <w:b/>
          <w:color w:val="000000"/>
          <w:lang w:eastAsia="es-MX"/>
        </w:rPr>
      </w:pPr>
    </w:p>
    <w:p w14:paraId="1790FD38" w14:textId="77777777" w:rsidR="0040344C" w:rsidRPr="00CA34F5" w:rsidRDefault="0040344C" w:rsidP="0040344C">
      <w:pPr>
        <w:spacing w:line="240" w:lineRule="auto"/>
        <w:jc w:val="both"/>
        <w:rPr>
          <w:rFonts w:ascii="Arial" w:eastAsia="Times New Roman" w:hAnsi="Arial" w:cs="Arial"/>
          <w:b/>
          <w:color w:val="000000"/>
          <w:lang w:eastAsia="es-MX"/>
        </w:rPr>
      </w:pPr>
      <w:r w:rsidRPr="00CA34F5">
        <w:rPr>
          <w:rFonts w:ascii="Arial" w:eastAsia="Times New Roman" w:hAnsi="Arial" w:cs="Arial"/>
          <w:b/>
          <w:color w:val="000000"/>
          <w:lang w:eastAsia="es-MX"/>
        </w:rPr>
        <w:t>Contratistas por Obras Públicas por Pagar a Corto Plazo $19</w:t>
      </w:r>
      <w:proofErr w:type="gramStart"/>
      <w:r w:rsidRPr="00CA34F5">
        <w:rPr>
          <w:rFonts w:ascii="Arial" w:eastAsia="Times New Roman" w:hAnsi="Arial" w:cs="Arial"/>
          <w:b/>
          <w:color w:val="000000"/>
          <w:lang w:eastAsia="es-MX"/>
        </w:rPr>
        <w:t>,288,936</w:t>
      </w:r>
      <w:proofErr w:type="gramEnd"/>
    </w:p>
    <w:p w14:paraId="304F0398" w14:textId="6B302C17" w:rsidR="0040344C" w:rsidRDefault="0040344C" w:rsidP="006C0A02">
      <w:pPr>
        <w:spacing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 xml:space="preserve">El saldo de esta cuenta corresponde al devengo de órdenes de pago del ejercicio actual por </w:t>
      </w:r>
      <w:r w:rsidR="005D690B">
        <w:rPr>
          <w:rFonts w:ascii="Arial" w:eastAsia="Times New Roman" w:hAnsi="Arial" w:cs="Arial"/>
          <w:color w:val="000000"/>
          <w:lang w:eastAsia="es-MX"/>
        </w:rPr>
        <w:t>$14</w:t>
      </w:r>
      <w:r w:rsidR="0033191D">
        <w:rPr>
          <w:rFonts w:ascii="Arial" w:eastAsia="Times New Roman" w:hAnsi="Arial" w:cs="Arial"/>
          <w:color w:val="000000"/>
          <w:lang w:eastAsia="es-MX"/>
        </w:rPr>
        <w:t>, 411,918</w:t>
      </w:r>
      <w:r w:rsidR="00DB168B">
        <w:rPr>
          <w:rFonts w:ascii="Arial" w:eastAsia="Times New Roman" w:hAnsi="Arial" w:cs="Arial"/>
          <w:color w:val="000000"/>
          <w:lang w:eastAsia="es-MX"/>
        </w:rPr>
        <w:t>,</w:t>
      </w:r>
      <w:r w:rsidR="005D690B">
        <w:rPr>
          <w:rFonts w:ascii="Arial" w:eastAsia="Times New Roman" w:hAnsi="Arial" w:cs="Arial"/>
          <w:color w:val="000000"/>
          <w:lang w:eastAsia="es-MX"/>
        </w:rPr>
        <w:t xml:space="preserve"> </w:t>
      </w:r>
      <w:r w:rsidR="00DB168B">
        <w:rPr>
          <w:rFonts w:ascii="Arial" w:eastAsia="Times New Roman" w:hAnsi="Arial" w:cs="Arial"/>
          <w:color w:val="000000"/>
          <w:lang w:eastAsia="es-MX"/>
        </w:rPr>
        <w:t xml:space="preserve"> representa el 75% </w:t>
      </w:r>
      <w:r w:rsidR="005D690B">
        <w:rPr>
          <w:rFonts w:ascii="Arial" w:eastAsia="Times New Roman" w:hAnsi="Arial" w:cs="Arial"/>
          <w:color w:val="000000"/>
          <w:lang w:eastAsia="es-MX"/>
        </w:rPr>
        <w:t>su</w:t>
      </w:r>
      <w:r w:rsidRPr="00CA34F5">
        <w:rPr>
          <w:rFonts w:ascii="Arial" w:eastAsia="Times New Roman" w:hAnsi="Arial" w:cs="Arial"/>
          <w:color w:val="000000"/>
          <w:lang w:eastAsia="es-MX"/>
        </w:rPr>
        <w:t xml:space="preserve"> vencimiento</w:t>
      </w:r>
      <w:r w:rsidR="005D690B">
        <w:rPr>
          <w:rFonts w:ascii="Arial" w:eastAsia="Times New Roman" w:hAnsi="Arial" w:cs="Arial"/>
          <w:color w:val="000000"/>
          <w:lang w:eastAsia="es-MX"/>
        </w:rPr>
        <w:t xml:space="preserve"> es</w:t>
      </w:r>
      <w:r w:rsidRPr="00CA34F5">
        <w:rPr>
          <w:rFonts w:ascii="Arial" w:eastAsia="Times New Roman" w:hAnsi="Arial" w:cs="Arial"/>
          <w:color w:val="000000"/>
          <w:lang w:eastAsia="es-MX"/>
        </w:rPr>
        <w:t xml:space="preserve"> de 90 días</w:t>
      </w:r>
      <w:r w:rsidR="00DB168B">
        <w:rPr>
          <w:rFonts w:ascii="Arial" w:eastAsia="Times New Roman" w:hAnsi="Arial" w:cs="Arial"/>
          <w:color w:val="000000"/>
          <w:lang w:eastAsia="es-MX"/>
        </w:rPr>
        <w:t xml:space="preserve"> </w:t>
      </w:r>
      <w:r w:rsidRPr="00CA34F5">
        <w:rPr>
          <w:rFonts w:ascii="Arial" w:eastAsia="Times New Roman" w:hAnsi="Arial" w:cs="Arial"/>
          <w:color w:val="000000"/>
          <w:lang w:eastAsia="es-MX"/>
        </w:rPr>
        <w:t xml:space="preserve"> </w:t>
      </w:r>
      <w:r w:rsidR="005D690B">
        <w:rPr>
          <w:rFonts w:ascii="Arial" w:eastAsia="Times New Roman" w:hAnsi="Arial" w:cs="Arial"/>
          <w:color w:val="000000"/>
          <w:lang w:eastAsia="es-MX"/>
        </w:rPr>
        <w:t xml:space="preserve">y </w:t>
      </w:r>
      <w:r w:rsidR="0033191D">
        <w:rPr>
          <w:rFonts w:ascii="Arial" w:eastAsia="Times New Roman" w:hAnsi="Arial" w:cs="Arial"/>
          <w:color w:val="000000"/>
          <w:lang w:eastAsia="es-MX"/>
        </w:rPr>
        <w:t xml:space="preserve"> se pagarán en el primer  trimestre de 2022; </w:t>
      </w:r>
      <w:r w:rsidR="00DB168B">
        <w:rPr>
          <w:rFonts w:ascii="Arial" w:eastAsia="Times New Roman" w:hAnsi="Arial" w:cs="Arial"/>
          <w:color w:val="000000"/>
          <w:lang w:eastAsia="es-MX"/>
        </w:rPr>
        <w:t xml:space="preserve"> </w:t>
      </w:r>
      <w:r w:rsidR="0033191D">
        <w:rPr>
          <w:rFonts w:ascii="Arial" w:eastAsia="Times New Roman" w:hAnsi="Arial" w:cs="Arial"/>
          <w:color w:val="000000"/>
          <w:lang w:eastAsia="es-MX"/>
        </w:rPr>
        <w:t>más</w:t>
      </w:r>
      <w:r w:rsidRPr="00CA34F5">
        <w:rPr>
          <w:rFonts w:ascii="Arial" w:eastAsia="Times New Roman" w:hAnsi="Arial" w:cs="Arial"/>
          <w:color w:val="000000"/>
          <w:lang w:eastAsia="es-MX"/>
        </w:rPr>
        <w:t xml:space="preserve"> </w:t>
      </w:r>
      <w:proofErr w:type="spellStart"/>
      <w:r w:rsidRPr="00CA34F5">
        <w:rPr>
          <w:rFonts w:ascii="Arial" w:eastAsia="Times New Roman" w:hAnsi="Arial" w:cs="Arial"/>
          <w:color w:val="000000"/>
          <w:lang w:eastAsia="es-MX"/>
        </w:rPr>
        <w:t>ordenes</w:t>
      </w:r>
      <w:proofErr w:type="spellEnd"/>
      <w:r w:rsidR="0033191D">
        <w:rPr>
          <w:rFonts w:ascii="Arial" w:eastAsia="Times New Roman" w:hAnsi="Arial" w:cs="Arial"/>
          <w:color w:val="000000"/>
          <w:lang w:eastAsia="es-MX"/>
        </w:rPr>
        <w:t xml:space="preserve"> de pago </w:t>
      </w:r>
      <w:r w:rsidRPr="00CA34F5">
        <w:rPr>
          <w:rFonts w:ascii="Arial" w:eastAsia="Times New Roman" w:hAnsi="Arial" w:cs="Arial"/>
          <w:color w:val="000000"/>
          <w:lang w:eastAsia="es-MX"/>
        </w:rPr>
        <w:t xml:space="preserve"> de ejercicios anteriores</w:t>
      </w:r>
      <w:r w:rsidR="003306E2">
        <w:rPr>
          <w:rFonts w:ascii="Arial" w:eastAsia="Times New Roman" w:hAnsi="Arial" w:cs="Arial"/>
          <w:color w:val="000000"/>
          <w:lang w:eastAsia="es-MX"/>
        </w:rPr>
        <w:t xml:space="preserve"> (2015 al 2017)</w:t>
      </w:r>
      <w:r w:rsidRPr="00CA34F5">
        <w:rPr>
          <w:rFonts w:ascii="Arial" w:eastAsia="Times New Roman" w:hAnsi="Arial" w:cs="Arial"/>
          <w:color w:val="000000"/>
          <w:lang w:eastAsia="es-MX"/>
        </w:rPr>
        <w:t xml:space="preserve"> por $4</w:t>
      </w:r>
      <w:r w:rsidR="0033191D" w:rsidRPr="00CA34F5">
        <w:rPr>
          <w:rFonts w:ascii="Arial" w:eastAsia="Times New Roman" w:hAnsi="Arial" w:cs="Arial"/>
          <w:color w:val="000000"/>
          <w:lang w:eastAsia="es-MX"/>
        </w:rPr>
        <w:t>, 877,018</w:t>
      </w:r>
      <w:r w:rsidR="0033191D">
        <w:rPr>
          <w:rFonts w:ascii="Arial" w:eastAsia="Times New Roman" w:hAnsi="Arial" w:cs="Arial"/>
          <w:color w:val="000000"/>
          <w:lang w:eastAsia="es-MX"/>
        </w:rPr>
        <w:t xml:space="preserve">  representa el 25% </w:t>
      </w:r>
      <w:r w:rsidR="00DB168B">
        <w:rPr>
          <w:rFonts w:ascii="Arial" w:eastAsia="Times New Roman" w:hAnsi="Arial" w:cs="Arial"/>
          <w:color w:val="000000"/>
          <w:lang w:eastAsia="es-MX"/>
        </w:rPr>
        <w:t>c</w:t>
      </w:r>
      <w:r w:rsidR="0033191D">
        <w:rPr>
          <w:rFonts w:ascii="Arial" w:eastAsia="Times New Roman" w:hAnsi="Arial" w:cs="Arial"/>
          <w:color w:val="000000"/>
          <w:lang w:eastAsia="es-MX"/>
        </w:rPr>
        <w:t>on</w:t>
      </w:r>
      <w:r w:rsidR="006C0A02">
        <w:rPr>
          <w:rFonts w:ascii="Arial" w:eastAsia="Times New Roman" w:hAnsi="Arial" w:cs="Arial"/>
          <w:color w:val="000000"/>
          <w:lang w:eastAsia="es-MX"/>
        </w:rPr>
        <w:t xml:space="preserve"> vencimiento mayor a 365 días, </w:t>
      </w:r>
      <w:r w:rsidR="00DB168B">
        <w:rPr>
          <w:rFonts w:ascii="Arial" w:eastAsia="Times New Roman" w:hAnsi="Arial" w:cs="Arial"/>
          <w:color w:val="000000"/>
          <w:lang w:eastAsia="es-MX"/>
        </w:rPr>
        <w:t xml:space="preserve"> los </w:t>
      </w:r>
      <w:r w:rsidR="006C0A02">
        <w:rPr>
          <w:rFonts w:ascii="Arial" w:eastAsia="Times New Roman" w:hAnsi="Arial" w:cs="Arial"/>
          <w:color w:val="000000"/>
          <w:lang w:eastAsia="es-MX"/>
        </w:rPr>
        <w:t>cuales se encuentran pendientes de pago</w:t>
      </w:r>
      <w:r w:rsidRPr="00CA34F5">
        <w:rPr>
          <w:rFonts w:ascii="Arial" w:eastAsia="Times New Roman" w:hAnsi="Arial" w:cs="Arial"/>
          <w:color w:val="000000"/>
          <w:lang w:eastAsia="es-MX"/>
        </w:rPr>
        <w:t>.</w:t>
      </w:r>
    </w:p>
    <w:p w14:paraId="3E2F87C1" w14:textId="77777777" w:rsidR="00DB168B" w:rsidRPr="00CA34F5" w:rsidRDefault="00DB168B" w:rsidP="006C0A02">
      <w:pPr>
        <w:spacing w:line="240" w:lineRule="auto"/>
        <w:jc w:val="both"/>
        <w:rPr>
          <w:rFonts w:ascii="Arial" w:eastAsia="Times New Roman" w:hAnsi="Arial" w:cs="Arial"/>
          <w:color w:val="000000"/>
          <w:lang w:eastAsia="es-MX"/>
        </w:rPr>
      </w:pPr>
    </w:p>
    <w:p w14:paraId="41C50202" w14:textId="77777777" w:rsidR="0040344C" w:rsidRPr="00CA34F5" w:rsidRDefault="0040344C" w:rsidP="0040344C">
      <w:pPr>
        <w:spacing w:line="240" w:lineRule="auto"/>
        <w:jc w:val="both"/>
        <w:rPr>
          <w:rFonts w:ascii="Arial" w:eastAsia="Times New Roman" w:hAnsi="Arial" w:cs="Arial"/>
          <w:b/>
          <w:color w:val="000000"/>
          <w:lang w:eastAsia="es-MX"/>
        </w:rPr>
      </w:pPr>
      <w:r w:rsidRPr="00CA34F5">
        <w:rPr>
          <w:rFonts w:ascii="Arial" w:eastAsia="Times New Roman" w:hAnsi="Arial" w:cs="Arial"/>
          <w:b/>
          <w:color w:val="000000"/>
          <w:lang w:eastAsia="es-MX"/>
        </w:rPr>
        <w:t>Transferencias Otorgadas por Pagar a Corto Plazo $2</w:t>
      </w:r>
      <w:proofErr w:type="gramStart"/>
      <w:r w:rsidRPr="00CA34F5">
        <w:rPr>
          <w:rFonts w:ascii="Arial" w:eastAsia="Times New Roman" w:hAnsi="Arial" w:cs="Arial"/>
          <w:b/>
          <w:color w:val="000000"/>
          <w:lang w:eastAsia="es-MX"/>
        </w:rPr>
        <w:t>,757,926</w:t>
      </w:r>
      <w:proofErr w:type="gramEnd"/>
    </w:p>
    <w:p w14:paraId="3DEAE3A3" w14:textId="63288847" w:rsidR="0040344C" w:rsidRPr="00CA34F5" w:rsidRDefault="0040344C" w:rsidP="0040344C">
      <w:pPr>
        <w:spacing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Corresponde a devengos de órd</w:t>
      </w:r>
      <w:r w:rsidR="0033191D">
        <w:rPr>
          <w:rFonts w:ascii="Arial" w:eastAsia="Times New Roman" w:hAnsi="Arial" w:cs="Arial"/>
          <w:color w:val="000000"/>
          <w:lang w:eastAsia="es-MX"/>
        </w:rPr>
        <w:t xml:space="preserve">enes de pago del ejercicio 2018, </w:t>
      </w:r>
      <w:r w:rsidRPr="00CA34F5">
        <w:rPr>
          <w:rFonts w:ascii="Arial" w:eastAsia="Times New Roman" w:hAnsi="Arial" w:cs="Arial"/>
          <w:color w:val="000000"/>
          <w:lang w:eastAsia="es-MX"/>
        </w:rPr>
        <w:t xml:space="preserve"> su desagregación de vencimiento es mayor a 365 días.</w:t>
      </w:r>
      <w:r w:rsidR="0033191D">
        <w:rPr>
          <w:rFonts w:ascii="Arial" w:eastAsia="Times New Roman" w:hAnsi="Arial" w:cs="Arial"/>
          <w:color w:val="000000"/>
          <w:lang w:eastAsia="es-MX"/>
        </w:rPr>
        <w:t xml:space="preserve"> </w:t>
      </w:r>
    </w:p>
    <w:p w14:paraId="657FE13D" w14:textId="77777777" w:rsidR="0040344C" w:rsidRPr="00CA34F5" w:rsidRDefault="0040344C" w:rsidP="0040344C">
      <w:pPr>
        <w:spacing w:after="0" w:line="240" w:lineRule="auto"/>
        <w:jc w:val="both"/>
        <w:rPr>
          <w:rFonts w:ascii="Arial" w:eastAsia="Times New Roman" w:hAnsi="Arial" w:cs="Arial"/>
          <w:b/>
          <w:u w:val="single"/>
          <w:lang w:eastAsia="es-MX"/>
        </w:rPr>
      </w:pPr>
    </w:p>
    <w:p w14:paraId="75F0BEE4" w14:textId="6AF32017" w:rsidR="0040344C" w:rsidRPr="00CA34F5" w:rsidRDefault="0040344C" w:rsidP="0040344C">
      <w:pPr>
        <w:spacing w:after="0" w:line="240" w:lineRule="auto"/>
        <w:jc w:val="both"/>
        <w:rPr>
          <w:rFonts w:ascii="Arial" w:eastAsia="Times New Roman" w:hAnsi="Arial" w:cs="Arial"/>
          <w:b/>
          <w:lang w:eastAsia="es-MX"/>
        </w:rPr>
      </w:pPr>
      <w:r w:rsidRPr="00CA34F5">
        <w:rPr>
          <w:rFonts w:ascii="Arial" w:eastAsia="Times New Roman" w:hAnsi="Arial" w:cs="Arial"/>
          <w:b/>
          <w:lang w:eastAsia="es-MX"/>
        </w:rPr>
        <w:t>Retenciones y Contribuciones por Pagar a Corto Plazo $1</w:t>
      </w:r>
      <w:proofErr w:type="gramStart"/>
      <w:r w:rsidRPr="00CA34F5">
        <w:rPr>
          <w:rFonts w:ascii="Arial" w:eastAsia="Times New Roman" w:hAnsi="Arial" w:cs="Arial"/>
          <w:b/>
          <w:lang w:eastAsia="es-MX"/>
        </w:rPr>
        <w:t>,158,278,141</w:t>
      </w:r>
      <w:proofErr w:type="gramEnd"/>
    </w:p>
    <w:p w14:paraId="415F30BB" w14:textId="77777777" w:rsidR="0040344C" w:rsidRPr="00CA34F5" w:rsidRDefault="0040344C" w:rsidP="000A4C31">
      <w:pPr>
        <w:spacing w:after="0" w:line="240" w:lineRule="auto"/>
        <w:ind w:right="49"/>
        <w:jc w:val="both"/>
        <w:rPr>
          <w:rFonts w:ascii="Arial" w:eastAsia="DIN Next LT Pro Condensed" w:hAnsi="Arial" w:cs="Arial"/>
          <w:spacing w:val="8"/>
        </w:rPr>
      </w:pPr>
    </w:p>
    <w:p w14:paraId="23BF9B71" w14:textId="77777777" w:rsidR="00E64210" w:rsidRPr="00CA34F5" w:rsidRDefault="00E64210" w:rsidP="00E64210">
      <w:pPr>
        <w:spacing w:after="0" w:line="240" w:lineRule="auto"/>
        <w:jc w:val="both"/>
        <w:rPr>
          <w:rFonts w:ascii="Arial" w:eastAsia="Times New Roman" w:hAnsi="Arial" w:cs="Arial"/>
          <w:b/>
          <w:color w:val="000000"/>
          <w:lang w:eastAsia="es-MX"/>
        </w:rPr>
      </w:pPr>
      <w:r w:rsidRPr="00CA34F5">
        <w:rPr>
          <w:rFonts w:ascii="Arial" w:eastAsia="Times New Roman" w:hAnsi="Arial" w:cs="Arial"/>
          <w:b/>
          <w:color w:val="000000"/>
          <w:lang w:eastAsia="es-MX"/>
        </w:rPr>
        <w:t>Se integra de las subcuentas siguientes:</w:t>
      </w:r>
    </w:p>
    <w:p w14:paraId="08BAFC65" w14:textId="77777777" w:rsidR="00E64210" w:rsidRPr="00CA34F5" w:rsidRDefault="00E64210" w:rsidP="00E64210">
      <w:pPr>
        <w:spacing w:after="0" w:line="240" w:lineRule="auto"/>
        <w:jc w:val="both"/>
        <w:rPr>
          <w:rFonts w:ascii="Arial" w:eastAsia="Times New Roman" w:hAnsi="Arial" w:cs="Arial"/>
          <w:b/>
          <w:color w:val="000000"/>
          <w:lang w:eastAsia="es-MX"/>
        </w:rPr>
      </w:pPr>
    </w:p>
    <w:p w14:paraId="087166F7" w14:textId="77777777" w:rsidR="00E64210" w:rsidRPr="00CA34F5" w:rsidRDefault="00E64210" w:rsidP="009A6238">
      <w:pPr>
        <w:pStyle w:val="Prrafodelista"/>
        <w:numPr>
          <w:ilvl w:val="0"/>
          <w:numId w:val="16"/>
        </w:numPr>
        <w:spacing w:after="0" w:line="240" w:lineRule="auto"/>
        <w:jc w:val="both"/>
        <w:rPr>
          <w:rFonts w:ascii="Arial" w:eastAsia="Times New Roman" w:hAnsi="Arial" w:cs="Arial"/>
          <w:b/>
          <w:color w:val="000000"/>
          <w:lang w:eastAsia="es-MX"/>
        </w:rPr>
      </w:pPr>
      <w:r w:rsidRPr="00CA34F5">
        <w:rPr>
          <w:rFonts w:ascii="Arial" w:eastAsia="Times New Roman" w:hAnsi="Arial" w:cs="Arial"/>
          <w:b/>
          <w:color w:val="000000"/>
          <w:lang w:eastAsia="es-MX"/>
        </w:rPr>
        <w:t>Impuestos. $599,414,058</w:t>
      </w:r>
    </w:p>
    <w:p w14:paraId="37065816" w14:textId="77777777" w:rsidR="00A70B4C" w:rsidRDefault="00A70B4C" w:rsidP="00E64210">
      <w:pPr>
        <w:spacing w:after="0" w:line="240" w:lineRule="auto"/>
        <w:jc w:val="both"/>
        <w:rPr>
          <w:rFonts w:ascii="Arial" w:eastAsia="Times New Roman" w:hAnsi="Arial" w:cs="Arial"/>
          <w:color w:val="000000"/>
          <w:lang w:eastAsia="es-MX"/>
        </w:rPr>
      </w:pPr>
    </w:p>
    <w:p w14:paraId="1A91B75D" w14:textId="09A78862" w:rsidR="00A70B4C" w:rsidRDefault="00A70B4C" w:rsidP="00A70B4C">
      <w:pPr>
        <w:spacing w:after="0" w:line="240" w:lineRule="auto"/>
        <w:jc w:val="both"/>
        <w:rPr>
          <w:rFonts w:ascii="Arial" w:eastAsia="Times New Roman" w:hAnsi="Arial" w:cs="Arial"/>
          <w:color w:val="000000"/>
          <w:lang w:eastAsia="es-MX"/>
        </w:rPr>
      </w:pPr>
      <w:r w:rsidRPr="00A70B4C">
        <w:rPr>
          <w:rFonts w:ascii="Arial" w:eastAsia="Times New Roman" w:hAnsi="Arial" w:cs="Arial"/>
          <w:color w:val="000000"/>
          <w:lang w:eastAsia="es-MX"/>
        </w:rPr>
        <w:t>Corresponde a las retenciones provisionadas por concepto de ISR de nómina, asimilables a salarios y lista de raya de noviembre y diciembre   por $ 639,089,138; más la provisión del impuesto sobre nómina del mes de diciembre por $ 55,845,713; más retenciones por arrendamiento por $ 10,741,868; más retenciones por honorarios por $ 1,924,050, los cuales se pagarán en el 1er. Trimestre del ejercicio 2022</w:t>
      </w:r>
      <w:r w:rsidR="005E24D9">
        <w:rPr>
          <w:rFonts w:ascii="Arial" w:eastAsia="Times New Roman" w:hAnsi="Arial" w:cs="Arial"/>
          <w:color w:val="000000"/>
          <w:lang w:eastAsia="es-MX"/>
        </w:rPr>
        <w:t xml:space="preserve">, </w:t>
      </w:r>
      <w:r w:rsidRPr="00A70B4C">
        <w:rPr>
          <w:rFonts w:ascii="Arial" w:eastAsia="Times New Roman" w:hAnsi="Arial" w:cs="Arial"/>
          <w:color w:val="000000"/>
          <w:lang w:eastAsia="es-MX"/>
        </w:rPr>
        <w:t xml:space="preserve"> menos $108,186,712</w:t>
      </w:r>
      <w:r w:rsidR="007074E7">
        <w:rPr>
          <w:rFonts w:ascii="Arial" w:eastAsia="Times New Roman" w:hAnsi="Arial" w:cs="Arial"/>
          <w:color w:val="000000"/>
          <w:lang w:eastAsia="es-MX"/>
        </w:rPr>
        <w:t xml:space="preserve"> del Impuesto Sobre la Renta </w:t>
      </w:r>
      <w:r w:rsidRPr="00A70B4C">
        <w:rPr>
          <w:rFonts w:ascii="Arial" w:eastAsia="Times New Roman" w:hAnsi="Arial" w:cs="Arial"/>
          <w:color w:val="000000"/>
          <w:lang w:eastAsia="es-MX"/>
        </w:rPr>
        <w:t xml:space="preserve">que está en proceso de depuración. La </w:t>
      </w:r>
      <w:proofErr w:type="spellStart"/>
      <w:r w:rsidRPr="00A70B4C">
        <w:rPr>
          <w:rFonts w:ascii="Arial" w:eastAsia="Times New Roman" w:hAnsi="Arial" w:cs="Arial"/>
          <w:color w:val="000000"/>
          <w:lang w:eastAsia="es-MX"/>
        </w:rPr>
        <w:t>desagración</w:t>
      </w:r>
      <w:proofErr w:type="spellEnd"/>
      <w:r w:rsidRPr="00A70B4C">
        <w:rPr>
          <w:rFonts w:ascii="Arial" w:eastAsia="Times New Roman" w:hAnsi="Arial" w:cs="Arial"/>
          <w:color w:val="000000"/>
          <w:lang w:eastAsia="es-MX"/>
        </w:rPr>
        <w:t xml:space="preserve"> por vencimiento es a 90 </w:t>
      </w:r>
      <w:proofErr w:type="spellStart"/>
      <w:r w:rsidRPr="00A70B4C">
        <w:rPr>
          <w:rFonts w:ascii="Arial" w:eastAsia="Times New Roman" w:hAnsi="Arial" w:cs="Arial"/>
          <w:color w:val="000000"/>
          <w:lang w:eastAsia="es-MX"/>
        </w:rPr>
        <w:t>dias</w:t>
      </w:r>
      <w:proofErr w:type="spellEnd"/>
      <w:r w:rsidRPr="00A70B4C">
        <w:rPr>
          <w:rFonts w:ascii="Arial" w:eastAsia="Times New Roman" w:hAnsi="Arial" w:cs="Arial"/>
          <w:color w:val="000000"/>
          <w:lang w:eastAsia="es-MX"/>
        </w:rPr>
        <w:t>.</w:t>
      </w:r>
    </w:p>
    <w:p w14:paraId="7B27BB30" w14:textId="77777777" w:rsidR="007074E7" w:rsidRDefault="007074E7" w:rsidP="00A70B4C">
      <w:pPr>
        <w:spacing w:after="0" w:line="240" w:lineRule="auto"/>
        <w:jc w:val="both"/>
        <w:rPr>
          <w:rFonts w:ascii="Arial" w:eastAsia="Times New Roman" w:hAnsi="Arial" w:cs="Arial"/>
          <w:color w:val="000000"/>
          <w:lang w:eastAsia="es-MX"/>
        </w:rPr>
      </w:pPr>
    </w:p>
    <w:p w14:paraId="3B74621B" w14:textId="77777777" w:rsidR="00A70B4C" w:rsidRDefault="00A70B4C" w:rsidP="00E64210">
      <w:pPr>
        <w:spacing w:after="0" w:line="240" w:lineRule="auto"/>
        <w:jc w:val="both"/>
        <w:rPr>
          <w:rFonts w:ascii="Arial" w:eastAsia="Times New Roman" w:hAnsi="Arial" w:cs="Arial"/>
          <w:color w:val="000000"/>
          <w:lang w:eastAsia="es-MX"/>
        </w:rPr>
      </w:pPr>
    </w:p>
    <w:p w14:paraId="7AE485B7" w14:textId="77777777" w:rsidR="00A70B4C" w:rsidRDefault="00A70B4C" w:rsidP="00E64210">
      <w:pPr>
        <w:spacing w:after="0" w:line="240" w:lineRule="auto"/>
        <w:jc w:val="both"/>
        <w:rPr>
          <w:rFonts w:ascii="Arial" w:eastAsia="Times New Roman" w:hAnsi="Arial" w:cs="Arial"/>
          <w:color w:val="000000"/>
          <w:lang w:eastAsia="es-MX"/>
        </w:rPr>
      </w:pPr>
    </w:p>
    <w:p w14:paraId="096E2733" w14:textId="77777777" w:rsidR="00A70B4C" w:rsidRDefault="00A70B4C" w:rsidP="00E64210">
      <w:pPr>
        <w:spacing w:after="0" w:line="240" w:lineRule="auto"/>
        <w:jc w:val="both"/>
        <w:rPr>
          <w:rFonts w:ascii="Arial" w:eastAsia="Times New Roman" w:hAnsi="Arial" w:cs="Arial"/>
          <w:color w:val="000000"/>
          <w:lang w:eastAsia="es-MX"/>
        </w:rPr>
      </w:pPr>
    </w:p>
    <w:p w14:paraId="559ACB6B" w14:textId="77777777" w:rsidR="00E64210" w:rsidRPr="00CA34F5" w:rsidRDefault="00E64210" w:rsidP="009A6238">
      <w:pPr>
        <w:pStyle w:val="Prrafodelista"/>
        <w:numPr>
          <w:ilvl w:val="0"/>
          <w:numId w:val="16"/>
        </w:numPr>
        <w:spacing w:after="0" w:line="240" w:lineRule="auto"/>
        <w:jc w:val="both"/>
        <w:rPr>
          <w:rFonts w:ascii="Arial" w:eastAsia="Times New Roman" w:hAnsi="Arial" w:cs="Arial"/>
          <w:b/>
          <w:color w:val="000000"/>
          <w:lang w:eastAsia="es-MX"/>
        </w:rPr>
      </w:pPr>
      <w:r w:rsidRPr="00CA34F5">
        <w:rPr>
          <w:rFonts w:ascii="Arial" w:eastAsia="Times New Roman" w:hAnsi="Arial" w:cs="Arial"/>
          <w:b/>
          <w:color w:val="000000"/>
          <w:lang w:eastAsia="es-MX"/>
        </w:rPr>
        <w:lastRenderedPageBreak/>
        <w:t xml:space="preserve">Instituto de Seguridad Social del Estado de Tabasco $313,311,679 </w:t>
      </w:r>
    </w:p>
    <w:p w14:paraId="2E7AA3E2" w14:textId="689F7480" w:rsidR="00E64210" w:rsidRPr="00CA34F5" w:rsidRDefault="00E64210" w:rsidP="00E64210">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Son las retenciones de las cuotas individuales y patronales que se realiza a cada Dependencia Estatal y que se le paga al Instituto de Seguridad Social del Estado de Tabasco (ISSET). La desagregación por vencimiento es de $244</w:t>
      </w:r>
      <w:proofErr w:type="gramStart"/>
      <w:r w:rsidRPr="00CA34F5">
        <w:rPr>
          <w:rFonts w:ascii="Arial" w:eastAsia="Times New Roman" w:hAnsi="Arial" w:cs="Arial"/>
          <w:color w:val="000000"/>
          <w:lang w:eastAsia="es-MX"/>
        </w:rPr>
        <w:t>,961,975</w:t>
      </w:r>
      <w:proofErr w:type="gramEnd"/>
      <w:r w:rsidRPr="00CA34F5">
        <w:rPr>
          <w:rFonts w:ascii="Arial" w:eastAsia="Times New Roman" w:hAnsi="Arial" w:cs="Arial"/>
          <w:color w:val="000000"/>
          <w:lang w:eastAsia="es-MX"/>
        </w:rPr>
        <w:t xml:space="preserve"> a 90 días representa el 78.18%,  los cuales se pagaran en el 1er. trimestre del año  2022 y $ 68,349,704 mayor a 365 días, y representa el 21.82%, el cual está en proceso de depuración, </w:t>
      </w:r>
      <w:r w:rsidR="00DD4A7A">
        <w:rPr>
          <w:rFonts w:ascii="Arial" w:eastAsia="Times New Roman" w:hAnsi="Arial" w:cs="Arial"/>
          <w:color w:val="000000"/>
          <w:lang w:eastAsia="es-MX"/>
        </w:rPr>
        <w:t>y corresponde a ej</w:t>
      </w:r>
      <w:r w:rsidR="003306E2">
        <w:rPr>
          <w:rFonts w:ascii="Arial" w:eastAsia="Times New Roman" w:hAnsi="Arial" w:cs="Arial"/>
          <w:color w:val="000000"/>
          <w:lang w:eastAsia="es-MX"/>
        </w:rPr>
        <w:t>ercicios anteriores (2015 y 2016).</w:t>
      </w:r>
    </w:p>
    <w:p w14:paraId="31EDF10A" w14:textId="77777777" w:rsidR="00E64210" w:rsidRPr="00CA34F5" w:rsidRDefault="00E64210" w:rsidP="00E64210">
      <w:pPr>
        <w:spacing w:after="0" w:line="240" w:lineRule="auto"/>
        <w:jc w:val="both"/>
        <w:rPr>
          <w:rFonts w:ascii="Arial" w:eastAsia="Times New Roman" w:hAnsi="Arial" w:cs="Arial"/>
          <w:color w:val="000000"/>
          <w:lang w:eastAsia="es-MX"/>
        </w:rPr>
      </w:pPr>
    </w:p>
    <w:p w14:paraId="1044E19B" w14:textId="77777777" w:rsidR="00E64210" w:rsidRPr="00CA34F5" w:rsidRDefault="00E64210" w:rsidP="009A6238">
      <w:pPr>
        <w:pStyle w:val="Prrafodelista"/>
        <w:numPr>
          <w:ilvl w:val="0"/>
          <w:numId w:val="16"/>
        </w:numPr>
        <w:spacing w:after="0" w:line="240" w:lineRule="auto"/>
        <w:jc w:val="both"/>
        <w:rPr>
          <w:rFonts w:ascii="Arial" w:eastAsia="Times New Roman" w:hAnsi="Arial" w:cs="Arial"/>
          <w:color w:val="000000"/>
          <w:lang w:eastAsia="es-MX"/>
        </w:rPr>
      </w:pPr>
      <w:r w:rsidRPr="00CA34F5">
        <w:rPr>
          <w:rFonts w:ascii="Arial" w:eastAsia="Times New Roman" w:hAnsi="Arial" w:cs="Arial"/>
          <w:b/>
          <w:color w:val="000000"/>
          <w:lang w:eastAsia="es-MX"/>
        </w:rPr>
        <w:t>Sindicatos $13,012,124</w:t>
      </w:r>
    </w:p>
    <w:p w14:paraId="3D8FAA09" w14:textId="7E9D12E7" w:rsidR="00E64210" w:rsidRPr="00CA34F5" w:rsidRDefault="00E64210" w:rsidP="00E64210">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Son retenciones obreras de cada trabajador. La desagregación  por vencimiento  es  de $5,584,270 a  90 días representa el 42.92%,  los cuales se pagaran en el 1er. trimestre del año  2022,  y $7,427,854 mayor a 365, y representa el 57.08%, el cual está en pro</w:t>
      </w:r>
      <w:r w:rsidR="00810E82">
        <w:rPr>
          <w:rFonts w:ascii="Arial" w:eastAsia="Times New Roman" w:hAnsi="Arial" w:cs="Arial"/>
          <w:color w:val="000000"/>
          <w:lang w:eastAsia="es-MX"/>
        </w:rPr>
        <w:t xml:space="preserve">ceso de depuración y corresponde a </w:t>
      </w:r>
      <w:r w:rsidR="003306E2">
        <w:rPr>
          <w:rFonts w:ascii="Arial" w:eastAsia="Times New Roman" w:hAnsi="Arial" w:cs="Arial"/>
          <w:color w:val="000000"/>
          <w:lang w:eastAsia="es-MX"/>
        </w:rPr>
        <w:t xml:space="preserve"> ejercicios anteriores (2015 al 2018)</w:t>
      </w:r>
      <w:r w:rsidR="007074E7">
        <w:rPr>
          <w:rFonts w:ascii="Arial" w:eastAsia="Times New Roman" w:hAnsi="Arial" w:cs="Arial"/>
          <w:color w:val="000000"/>
          <w:lang w:eastAsia="es-MX"/>
        </w:rPr>
        <w:t>.</w:t>
      </w:r>
    </w:p>
    <w:p w14:paraId="4B7AF3FC" w14:textId="77777777" w:rsidR="00E64210" w:rsidRPr="00CA34F5" w:rsidRDefault="00E64210" w:rsidP="00E64210">
      <w:pPr>
        <w:spacing w:after="0" w:line="240" w:lineRule="auto"/>
        <w:jc w:val="both"/>
        <w:rPr>
          <w:rFonts w:ascii="Arial" w:eastAsia="Times New Roman" w:hAnsi="Arial" w:cs="Arial"/>
          <w:color w:val="000000"/>
          <w:lang w:eastAsia="es-MX"/>
        </w:rPr>
      </w:pPr>
    </w:p>
    <w:p w14:paraId="46EEE6C9" w14:textId="77777777" w:rsidR="00E64210" w:rsidRPr="00CA34F5" w:rsidRDefault="00E64210" w:rsidP="009A6238">
      <w:pPr>
        <w:pStyle w:val="Prrafodelista"/>
        <w:numPr>
          <w:ilvl w:val="0"/>
          <w:numId w:val="16"/>
        </w:numPr>
        <w:spacing w:after="0" w:line="240" w:lineRule="auto"/>
        <w:jc w:val="both"/>
        <w:rPr>
          <w:rFonts w:ascii="Arial" w:eastAsia="Times New Roman" w:hAnsi="Arial" w:cs="Arial"/>
          <w:b/>
          <w:color w:val="000000"/>
          <w:lang w:eastAsia="es-MX"/>
        </w:rPr>
      </w:pPr>
      <w:r w:rsidRPr="00CA34F5">
        <w:rPr>
          <w:rFonts w:ascii="Arial" w:eastAsia="Times New Roman" w:hAnsi="Arial" w:cs="Arial"/>
          <w:b/>
          <w:color w:val="000000"/>
          <w:lang w:eastAsia="es-MX"/>
        </w:rPr>
        <w:t>Asegurados $52,306,001</w:t>
      </w:r>
    </w:p>
    <w:p w14:paraId="5618777F" w14:textId="69869F8D" w:rsidR="00E64210" w:rsidRPr="00CA34F5" w:rsidRDefault="00727221" w:rsidP="00E642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w:t>
      </w:r>
      <w:r w:rsidR="00E64210" w:rsidRPr="00CA34F5">
        <w:rPr>
          <w:rFonts w:ascii="Arial" w:eastAsia="Times New Roman" w:hAnsi="Arial" w:cs="Arial"/>
          <w:color w:val="000000"/>
          <w:lang w:eastAsia="es-MX"/>
        </w:rPr>
        <w:t>escuentos a trabajadores por seguros de automóviles y seguros de vida. La desagregación por vencimiento es de $14</w:t>
      </w:r>
      <w:proofErr w:type="gramStart"/>
      <w:r w:rsidR="00E64210" w:rsidRPr="00CA34F5">
        <w:rPr>
          <w:rFonts w:ascii="Arial" w:eastAsia="Times New Roman" w:hAnsi="Arial" w:cs="Arial"/>
          <w:color w:val="000000"/>
          <w:lang w:eastAsia="es-MX"/>
        </w:rPr>
        <w:t>,180,874</w:t>
      </w:r>
      <w:proofErr w:type="gramEnd"/>
      <w:r w:rsidR="00E64210" w:rsidRPr="00CA34F5">
        <w:rPr>
          <w:rFonts w:ascii="Arial" w:eastAsia="Times New Roman" w:hAnsi="Arial" w:cs="Arial"/>
          <w:color w:val="000000"/>
          <w:lang w:eastAsia="es-MX"/>
        </w:rPr>
        <w:t xml:space="preserve"> a 90 días representa el 27.11%,  los cuales se pagaran en el 1er. trimestre del año  2022 y $38,125,127 mayor a 365 días, y representa el 72.89%, el cual está en proceso de depuración </w:t>
      </w:r>
      <w:r w:rsidR="00AE1DD6">
        <w:rPr>
          <w:rFonts w:ascii="Arial" w:eastAsia="Times New Roman" w:hAnsi="Arial" w:cs="Arial"/>
          <w:color w:val="000000"/>
          <w:lang w:eastAsia="es-MX"/>
        </w:rPr>
        <w:t xml:space="preserve">y corresponde a </w:t>
      </w:r>
      <w:r w:rsidR="003306E2">
        <w:rPr>
          <w:rFonts w:ascii="Arial" w:eastAsia="Times New Roman" w:hAnsi="Arial" w:cs="Arial"/>
          <w:color w:val="000000"/>
          <w:lang w:eastAsia="es-MX"/>
        </w:rPr>
        <w:t>ejercicios anteriores (2015 al 2018)</w:t>
      </w:r>
      <w:r w:rsidR="007074E7">
        <w:rPr>
          <w:rFonts w:ascii="Arial" w:eastAsia="Times New Roman" w:hAnsi="Arial" w:cs="Arial"/>
          <w:color w:val="000000"/>
          <w:lang w:eastAsia="es-MX"/>
        </w:rPr>
        <w:t>.</w:t>
      </w:r>
      <w:bookmarkStart w:id="0" w:name="_GoBack"/>
      <w:bookmarkEnd w:id="0"/>
    </w:p>
    <w:p w14:paraId="03AD321C" w14:textId="77777777" w:rsidR="00E64210" w:rsidRPr="00CA34F5" w:rsidRDefault="00E64210" w:rsidP="00E64210">
      <w:pPr>
        <w:spacing w:after="0" w:line="240" w:lineRule="auto"/>
        <w:jc w:val="both"/>
        <w:rPr>
          <w:rFonts w:ascii="Arial" w:eastAsia="Times New Roman" w:hAnsi="Arial" w:cs="Arial"/>
          <w:b/>
          <w:color w:val="000000"/>
          <w:lang w:eastAsia="es-MX"/>
        </w:rPr>
      </w:pPr>
    </w:p>
    <w:p w14:paraId="26681006" w14:textId="77777777" w:rsidR="00E64210" w:rsidRPr="00CA34F5" w:rsidRDefault="00E64210" w:rsidP="009A6238">
      <w:pPr>
        <w:pStyle w:val="Prrafodelista"/>
        <w:numPr>
          <w:ilvl w:val="0"/>
          <w:numId w:val="16"/>
        </w:numPr>
        <w:spacing w:after="0" w:line="240" w:lineRule="auto"/>
        <w:jc w:val="both"/>
        <w:rPr>
          <w:rFonts w:ascii="Arial" w:eastAsia="Times New Roman" w:hAnsi="Arial" w:cs="Arial"/>
          <w:color w:val="000000"/>
          <w:lang w:eastAsia="es-MX"/>
        </w:rPr>
      </w:pPr>
      <w:r w:rsidRPr="00CA34F5">
        <w:rPr>
          <w:rFonts w:ascii="Arial" w:eastAsia="Times New Roman" w:hAnsi="Arial" w:cs="Arial"/>
          <w:b/>
          <w:color w:val="000000"/>
          <w:lang w:eastAsia="es-MX"/>
        </w:rPr>
        <w:t>Otros $168,631,439</w:t>
      </w:r>
    </w:p>
    <w:p w14:paraId="013B8456" w14:textId="167DFFFD" w:rsidR="00E64210" w:rsidRPr="00CA34F5" w:rsidRDefault="00E64210" w:rsidP="00E64210">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 xml:space="preserve">Descuentos de Despensa, Pensión Alimenticia, </w:t>
      </w:r>
      <w:proofErr w:type="spellStart"/>
      <w:r w:rsidRPr="00CA34F5">
        <w:rPr>
          <w:rFonts w:ascii="Arial" w:eastAsia="Times New Roman" w:hAnsi="Arial" w:cs="Arial"/>
          <w:color w:val="000000"/>
          <w:lang w:eastAsia="es-MX"/>
        </w:rPr>
        <w:t>Directodo</w:t>
      </w:r>
      <w:proofErr w:type="spellEnd"/>
      <w:r w:rsidRPr="00CA34F5">
        <w:rPr>
          <w:rFonts w:ascii="Arial" w:eastAsia="Times New Roman" w:hAnsi="Arial" w:cs="Arial"/>
          <w:color w:val="000000"/>
          <w:lang w:eastAsia="es-MX"/>
        </w:rPr>
        <w:t xml:space="preserve"> México S.A.P.I. DE C.V. SOFOM, E.N.R,  descuento   INFONACOT,  Nómina Apoyo, S. A. de C. V. </w:t>
      </w:r>
      <w:proofErr w:type="spellStart"/>
      <w:r w:rsidRPr="00CA34F5">
        <w:rPr>
          <w:rFonts w:ascii="Arial" w:eastAsia="Times New Roman" w:hAnsi="Arial" w:cs="Arial"/>
          <w:color w:val="000000"/>
          <w:lang w:eastAsia="es-MX"/>
        </w:rPr>
        <w:t>Sofom</w:t>
      </w:r>
      <w:proofErr w:type="spellEnd"/>
      <w:r w:rsidRPr="00CA34F5">
        <w:rPr>
          <w:rFonts w:ascii="Arial" w:eastAsia="Times New Roman" w:hAnsi="Arial" w:cs="Arial"/>
          <w:color w:val="000000"/>
          <w:lang w:eastAsia="es-MX"/>
        </w:rPr>
        <w:t xml:space="preserve"> (ENR), FAMSA PROMOBIEN, S.A. DE C.V, PRESTACIONES FINMART S.A. P.I. DE C.V. SOFOM E.N.R., FONDO ACH, SA DE CV. SOFOM ENR, 0.5% VIGILANCIA E INSPECCION y Multas por atrasos de obras entre otros. La desagregación por vencimiento es de $85</w:t>
      </w:r>
      <w:proofErr w:type="gramStart"/>
      <w:r w:rsidRPr="00CA34F5">
        <w:rPr>
          <w:rFonts w:ascii="Arial" w:eastAsia="Times New Roman" w:hAnsi="Arial" w:cs="Arial"/>
          <w:color w:val="000000"/>
          <w:lang w:eastAsia="es-MX"/>
        </w:rPr>
        <w:t>,207,336</w:t>
      </w:r>
      <w:proofErr w:type="gramEnd"/>
      <w:r w:rsidRPr="00CA34F5">
        <w:rPr>
          <w:rFonts w:ascii="Arial" w:eastAsia="Times New Roman" w:hAnsi="Arial" w:cs="Arial"/>
          <w:color w:val="000000"/>
          <w:lang w:eastAsia="es-MX"/>
        </w:rPr>
        <w:t xml:space="preserve"> a 90 días representa el 50.53%,  los cuales se pagarán en el 1er. Trimestre del año 2022 y $83,424,103 mayor a 365 días y representa el 49.47%, el cual está en proceso de depuración, </w:t>
      </w:r>
      <w:r w:rsidR="00D97DCF">
        <w:rPr>
          <w:rFonts w:ascii="Arial" w:eastAsia="Times New Roman" w:hAnsi="Arial" w:cs="Arial"/>
          <w:color w:val="000000"/>
          <w:lang w:eastAsia="es-MX"/>
        </w:rPr>
        <w:t>y corresponde a</w:t>
      </w:r>
      <w:r w:rsidR="003306E2">
        <w:rPr>
          <w:rFonts w:ascii="Arial" w:eastAsia="Times New Roman" w:hAnsi="Arial" w:cs="Arial"/>
          <w:color w:val="000000"/>
          <w:lang w:eastAsia="es-MX"/>
        </w:rPr>
        <w:t xml:space="preserve"> ejercicios anteriores (2015 al 2018).</w:t>
      </w:r>
    </w:p>
    <w:p w14:paraId="635075A9" w14:textId="77777777" w:rsidR="00E64210" w:rsidRPr="00CA34F5" w:rsidRDefault="00E64210" w:rsidP="00E64210">
      <w:pPr>
        <w:spacing w:after="0" w:line="240" w:lineRule="auto"/>
        <w:jc w:val="both"/>
        <w:rPr>
          <w:rFonts w:ascii="Arial" w:eastAsia="Times New Roman" w:hAnsi="Arial" w:cs="Arial"/>
          <w:color w:val="000000"/>
          <w:lang w:eastAsia="es-MX"/>
        </w:rPr>
      </w:pPr>
    </w:p>
    <w:p w14:paraId="20BECADC" w14:textId="77777777" w:rsidR="00E64210" w:rsidRPr="00CA34F5" w:rsidRDefault="00E64210" w:rsidP="00127454">
      <w:pPr>
        <w:pStyle w:val="Prrafodelista"/>
        <w:numPr>
          <w:ilvl w:val="0"/>
          <w:numId w:val="16"/>
        </w:numPr>
        <w:spacing w:after="0" w:line="240" w:lineRule="auto"/>
        <w:jc w:val="both"/>
        <w:rPr>
          <w:rFonts w:ascii="Arial" w:eastAsia="Times New Roman" w:hAnsi="Arial" w:cs="Arial"/>
          <w:b/>
          <w:color w:val="000000"/>
          <w:lang w:eastAsia="es-MX"/>
        </w:rPr>
      </w:pPr>
      <w:r w:rsidRPr="00CA34F5">
        <w:rPr>
          <w:rFonts w:ascii="Arial" w:eastAsia="Times New Roman" w:hAnsi="Arial" w:cs="Arial"/>
          <w:b/>
          <w:color w:val="000000"/>
          <w:lang w:eastAsia="es-MX"/>
        </w:rPr>
        <w:t>Retenciones al Fondo Municipal de Participaciones $11,602,840</w:t>
      </w:r>
    </w:p>
    <w:p w14:paraId="52791F88" w14:textId="65AAAFD0" w:rsidR="00E64210" w:rsidRPr="00CA34F5" w:rsidRDefault="00347FC1" w:rsidP="00E642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R</w:t>
      </w:r>
      <w:r w:rsidR="00E64210" w:rsidRPr="00CA34F5">
        <w:rPr>
          <w:rFonts w:ascii="Arial" w:eastAsia="Times New Roman" w:hAnsi="Arial" w:cs="Arial"/>
          <w:color w:val="000000"/>
          <w:lang w:eastAsia="es-MX"/>
        </w:rPr>
        <w:t>etenciones realizadas al fondo municipal de participaciones. Su desagregación por vencimiento es a 90 días al 100%, en pr</w:t>
      </w:r>
      <w:r w:rsidR="0033191D">
        <w:rPr>
          <w:rFonts w:ascii="Arial" w:eastAsia="Times New Roman" w:hAnsi="Arial" w:cs="Arial"/>
          <w:color w:val="000000"/>
          <w:lang w:eastAsia="es-MX"/>
        </w:rPr>
        <w:t>oceso de depuración.</w:t>
      </w:r>
    </w:p>
    <w:p w14:paraId="0BBB746F" w14:textId="77777777" w:rsidR="00E64210" w:rsidRPr="00CA34F5" w:rsidRDefault="00E64210" w:rsidP="00E64210">
      <w:pPr>
        <w:spacing w:after="0" w:line="240" w:lineRule="auto"/>
        <w:jc w:val="both"/>
        <w:rPr>
          <w:rFonts w:ascii="Arial" w:eastAsia="Times New Roman" w:hAnsi="Arial" w:cs="Arial"/>
          <w:color w:val="000000"/>
          <w:lang w:eastAsia="es-MX"/>
        </w:rPr>
      </w:pPr>
    </w:p>
    <w:p w14:paraId="2E2A4EAC" w14:textId="77777777" w:rsidR="00347FC1" w:rsidRDefault="00347FC1" w:rsidP="00E64210">
      <w:pPr>
        <w:spacing w:after="0" w:line="240" w:lineRule="auto"/>
        <w:jc w:val="both"/>
        <w:rPr>
          <w:rFonts w:ascii="Arial" w:eastAsia="Times New Roman" w:hAnsi="Arial" w:cs="Arial"/>
          <w:b/>
          <w:color w:val="000000"/>
          <w:lang w:eastAsia="es-MX"/>
        </w:rPr>
      </w:pPr>
    </w:p>
    <w:p w14:paraId="7637FFA9" w14:textId="77777777" w:rsidR="00E64210" w:rsidRPr="00CA34F5" w:rsidRDefault="00E64210" w:rsidP="00E64210">
      <w:pPr>
        <w:spacing w:after="0" w:line="240" w:lineRule="auto"/>
        <w:jc w:val="both"/>
        <w:rPr>
          <w:rFonts w:ascii="Arial" w:eastAsia="Times New Roman" w:hAnsi="Arial" w:cs="Arial"/>
          <w:b/>
          <w:color w:val="000000"/>
          <w:lang w:eastAsia="es-MX"/>
        </w:rPr>
      </w:pPr>
      <w:r w:rsidRPr="00CA34F5">
        <w:rPr>
          <w:rFonts w:ascii="Arial" w:eastAsia="Times New Roman" w:hAnsi="Arial" w:cs="Arial"/>
          <w:b/>
          <w:color w:val="000000"/>
          <w:lang w:eastAsia="es-MX"/>
        </w:rPr>
        <w:t>Devoluciones de la Ley de Ingresos por Pagar a Corto Plazo $2</w:t>
      </w:r>
      <w:proofErr w:type="gramStart"/>
      <w:r w:rsidRPr="00CA34F5">
        <w:rPr>
          <w:rFonts w:ascii="Arial" w:eastAsia="Times New Roman" w:hAnsi="Arial" w:cs="Arial"/>
          <w:b/>
          <w:color w:val="000000"/>
          <w:lang w:eastAsia="es-MX"/>
        </w:rPr>
        <w:t>,675,217</w:t>
      </w:r>
      <w:proofErr w:type="gramEnd"/>
    </w:p>
    <w:p w14:paraId="5D57E044" w14:textId="77777777" w:rsidR="00E64210" w:rsidRPr="00CA34F5" w:rsidRDefault="00E64210" w:rsidP="00E64210">
      <w:pPr>
        <w:spacing w:after="0" w:line="240" w:lineRule="auto"/>
        <w:jc w:val="both"/>
        <w:rPr>
          <w:rFonts w:ascii="Arial" w:eastAsia="Times New Roman" w:hAnsi="Arial" w:cs="Arial"/>
          <w:color w:val="000000"/>
          <w:lang w:eastAsia="es-MX"/>
        </w:rPr>
      </w:pPr>
    </w:p>
    <w:p w14:paraId="0F4383DF" w14:textId="7EED53FA" w:rsidR="00E64210" w:rsidRPr="00CA34F5" w:rsidRDefault="003B4AF2" w:rsidP="00E642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C</w:t>
      </w:r>
      <w:r w:rsidR="00E64210" w:rsidRPr="00CA34F5">
        <w:rPr>
          <w:rFonts w:ascii="Arial" w:eastAsia="Times New Roman" w:hAnsi="Arial" w:cs="Arial"/>
          <w:color w:val="000000"/>
          <w:lang w:eastAsia="es-MX"/>
        </w:rPr>
        <w:t>orresponde a provisiones de ejercicios anteriores y</w:t>
      </w:r>
      <w:r>
        <w:rPr>
          <w:rFonts w:ascii="Arial" w:eastAsia="Times New Roman" w:hAnsi="Arial" w:cs="Arial"/>
          <w:color w:val="000000"/>
          <w:lang w:eastAsia="es-MX"/>
        </w:rPr>
        <w:t xml:space="preserve"> el</w:t>
      </w:r>
      <w:r w:rsidR="00E64210" w:rsidRPr="00CA34F5">
        <w:rPr>
          <w:rFonts w:ascii="Arial" w:eastAsia="Times New Roman" w:hAnsi="Arial" w:cs="Arial"/>
          <w:color w:val="000000"/>
          <w:lang w:eastAsia="es-MX"/>
        </w:rPr>
        <w:t xml:space="preserve"> actual realizadas por la Dirección de Recaudación por pagos duplicados, tramites improcedentes de impuestos, fianzas judiciales, depósito</w:t>
      </w:r>
      <w:r>
        <w:rPr>
          <w:rFonts w:ascii="Arial" w:eastAsia="Times New Roman" w:hAnsi="Arial" w:cs="Arial"/>
          <w:color w:val="000000"/>
          <w:lang w:eastAsia="es-MX"/>
        </w:rPr>
        <w:t>s en garantía u otros conceptos</w:t>
      </w:r>
      <w:r w:rsidR="00E64210" w:rsidRPr="00CA34F5">
        <w:rPr>
          <w:rFonts w:ascii="Arial" w:eastAsia="Times New Roman" w:hAnsi="Arial" w:cs="Arial"/>
          <w:color w:val="000000"/>
          <w:lang w:eastAsia="es-MX"/>
        </w:rPr>
        <w:t xml:space="preserve">, los cuales </w:t>
      </w:r>
      <w:r>
        <w:rPr>
          <w:rFonts w:ascii="Arial" w:eastAsia="Times New Roman" w:hAnsi="Arial" w:cs="Arial"/>
          <w:color w:val="000000"/>
          <w:lang w:eastAsia="es-MX"/>
        </w:rPr>
        <w:t>deben ser solicitados por</w:t>
      </w:r>
      <w:r w:rsidR="00E64210" w:rsidRPr="00CA34F5">
        <w:rPr>
          <w:rFonts w:ascii="Arial" w:eastAsia="Times New Roman" w:hAnsi="Arial" w:cs="Arial"/>
          <w:color w:val="000000"/>
          <w:lang w:eastAsia="es-MX"/>
        </w:rPr>
        <w:t xml:space="preserve"> el contribuyente. </w:t>
      </w:r>
    </w:p>
    <w:p w14:paraId="2C26BC75" w14:textId="77777777" w:rsidR="00E64210" w:rsidRDefault="00E64210" w:rsidP="00E64210">
      <w:pPr>
        <w:spacing w:after="0" w:line="240" w:lineRule="auto"/>
        <w:jc w:val="both"/>
        <w:rPr>
          <w:rFonts w:ascii="Arial" w:eastAsia="Times New Roman" w:hAnsi="Arial" w:cs="Arial"/>
          <w:color w:val="000000"/>
          <w:lang w:eastAsia="es-MX"/>
        </w:rPr>
      </w:pPr>
    </w:p>
    <w:p w14:paraId="429631F5" w14:textId="77777777" w:rsidR="00BF1405" w:rsidRDefault="00BF1405" w:rsidP="00E64210">
      <w:pPr>
        <w:spacing w:after="0" w:line="240" w:lineRule="auto"/>
        <w:jc w:val="both"/>
        <w:rPr>
          <w:rFonts w:ascii="Arial" w:eastAsia="Times New Roman" w:hAnsi="Arial" w:cs="Arial"/>
          <w:color w:val="000000"/>
          <w:lang w:eastAsia="es-MX"/>
        </w:rPr>
      </w:pPr>
    </w:p>
    <w:p w14:paraId="17075AB3" w14:textId="77777777" w:rsidR="00BF1405" w:rsidRDefault="00BF1405" w:rsidP="00E64210">
      <w:pPr>
        <w:spacing w:after="0" w:line="240" w:lineRule="auto"/>
        <w:jc w:val="both"/>
        <w:rPr>
          <w:rFonts w:ascii="Arial" w:eastAsia="Times New Roman" w:hAnsi="Arial" w:cs="Arial"/>
          <w:color w:val="000000"/>
          <w:lang w:eastAsia="es-MX"/>
        </w:rPr>
      </w:pPr>
    </w:p>
    <w:p w14:paraId="102F3E93" w14:textId="77777777" w:rsidR="00BF1405" w:rsidRPr="00CA34F5" w:rsidRDefault="00BF1405" w:rsidP="00E64210">
      <w:pPr>
        <w:spacing w:after="0" w:line="240" w:lineRule="auto"/>
        <w:jc w:val="both"/>
        <w:rPr>
          <w:rFonts w:ascii="Arial" w:eastAsia="Times New Roman" w:hAnsi="Arial" w:cs="Arial"/>
          <w:color w:val="000000"/>
          <w:lang w:eastAsia="es-MX"/>
        </w:rPr>
      </w:pPr>
    </w:p>
    <w:p w14:paraId="76527931" w14:textId="77777777" w:rsidR="0040344C" w:rsidRPr="00CA34F5" w:rsidRDefault="0040344C" w:rsidP="000A4C31">
      <w:pPr>
        <w:spacing w:after="0" w:line="240" w:lineRule="auto"/>
        <w:ind w:right="49"/>
        <w:jc w:val="both"/>
        <w:rPr>
          <w:rFonts w:ascii="Arial" w:eastAsia="DIN Next LT Pro Condensed" w:hAnsi="Arial" w:cs="Arial"/>
          <w:spacing w:val="8"/>
        </w:rPr>
      </w:pPr>
    </w:p>
    <w:p w14:paraId="472B75A6" w14:textId="5549F26F" w:rsidR="00E64210" w:rsidRPr="00CA34F5" w:rsidRDefault="00E64210" w:rsidP="00E64210">
      <w:pPr>
        <w:spacing w:line="240" w:lineRule="auto"/>
        <w:jc w:val="both"/>
        <w:rPr>
          <w:rFonts w:ascii="Arial" w:eastAsia="Times New Roman" w:hAnsi="Arial" w:cs="Arial"/>
          <w:b/>
          <w:color w:val="000000"/>
          <w:lang w:eastAsia="es-MX"/>
        </w:rPr>
      </w:pPr>
      <w:r w:rsidRPr="00CA34F5">
        <w:rPr>
          <w:rFonts w:ascii="Arial" w:eastAsia="Times New Roman" w:hAnsi="Arial" w:cs="Arial"/>
          <w:b/>
          <w:color w:val="000000"/>
          <w:lang w:eastAsia="es-MX"/>
        </w:rPr>
        <w:lastRenderedPageBreak/>
        <w:t>Otras Cuentas por Pagar a Corto Plazo $3</w:t>
      </w:r>
      <w:proofErr w:type="gramStart"/>
      <w:r w:rsidRPr="00CA34F5">
        <w:rPr>
          <w:rFonts w:ascii="Arial" w:eastAsia="Times New Roman" w:hAnsi="Arial" w:cs="Arial"/>
          <w:b/>
          <w:color w:val="000000"/>
          <w:lang w:eastAsia="es-MX"/>
        </w:rPr>
        <w:t>,976,299,668</w:t>
      </w:r>
      <w:proofErr w:type="gramEnd"/>
    </w:p>
    <w:p w14:paraId="1D4C50FC" w14:textId="157891E7" w:rsidR="007F6D23" w:rsidRPr="00CA34F5" w:rsidRDefault="007F6D23" w:rsidP="007F6D23">
      <w:pPr>
        <w:spacing w:after="0" w:line="240" w:lineRule="auto"/>
        <w:jc w:val="both"/>
        <w:rPr>
          <w:rFonts w:ascii="Arial" w:hAnsi="Arial" w:cs="Arial"/>
        </w:rPr>
      </w:pPr>
    </w:p>
    <w:tbl>
      <w:tblPr>
        <w:tblStyle w:val="Tablaconcuadrcula"/>
        <w:tblW w:w="12044" w:type="dxa"/>
        <w:tblLook w:val="04A0" w:firstRow="1" w:lastRow="0" w:firstColumn="1" w:lastColumn="0" w:noHBand="0" w:noVBand="1"/>
      </w:tblPr>
      <w:tblGrid>
        <w:gridCol w:w="8926"/>
        <w:gridCol w:w="1984"/>
        <w:gridCol w:w="1134"/>
      </w:tblGrid>
      <w:tr w:rsidR="00267429" w:rsidRPr="00CA34F5" w14:paraId="6E8F94B9" w14:textId="77777777" w:rsidTr="00267429">
        <w:trPr>
          <w:trHeight w:val="308"/>
        </w:trPr>
        <w:tc>
          <w:tcPr>
            <w:tcW w:w="8926" w:type="dxa"/>
            <w:shd w:val="clear" w:color="auto" w:fill="A6A6A6" w:themeFill="background1" w:themeFillShade="A6"/>
          </w:tcPr>
          <w:p w14:paraId="78125279" w14:textId="77777777" w:rsidR="00267429" w:rsidRPr="00CA34F5" w:rsidRDefault="00267429" w:rsidP="000A4C31">
            <w:pPr>
              <w:rPr>
                <w:rFonts w:ascii="Arial" w:hAnsi="Arial" w:cs="Arial"/>
                <w:b/>
              </w:rPr>
            </w:pPr>
            <w:r w:rsidRPr="00CA34F5">
              <w:rPr>
                <w:rFonts w:ascii="Arial" w:hAnsi="Arial" w:cs="Arial"/>
                <w:b/>
              </w:rPr>
              <w:t>Conceptos que integran Otras Cuentas por Pagar a Corto Plazo</w:t>
            </w:r>
          </w:p>
        </w:tc>
        <w:tc>
          <w:tcPr>
            <w:tcW w:w="1984" w:type="dxa"/>
            <w:tcBorders>
              <w:bottom w:val="single" w:sz="4" w:space="0" w:color="auto"/>
            </w:tcBorders>
            <w:shd w:val="clear" w:color="auto" w:fill="A6A6A6" w:themeFill="background1" w:themeFillShade="A6"/>
          </w:tcPr>
          <w:p w14:paraId="71F2E4D0" w14:textId="77777777" w:rsidR="00267429" w:rsidRPr="00CA34F5" w:rsidRDefault="00267429" w:rsidP="000A4C31">
            <w:pPr>
              <w:rPr>
                <w:rFonts w:ascii="Arial" w:hAnsi="Arial" w:cs="Arial"/>
                <w:b/>
              </w:rPr>
            </w:pPr>
            <w:r w:rsidRPr="00CA34F5">
              <w:rPr>
                <w:rFonts w:ascii="Arial" w:hAnsi="Arial" w:cs="Arial"/>
                <w:b/>
              </w:rPr>
              <w:t>Saldo</w:t>
            </w:r>
          </w:p>
        </w:tc>
        <w:tc>
          <w:tcPr>
            <w:tcW w:w="1134" w:type="dxa"/>
            <w:tcBorders>
              <w:bottom w:val="single" w:sz="4" w:space="0" w:color="auto"/>
            </w:tcBorders>
            <w:shd w:val="clear" w:color="auto" w:fill="A6A6A6" w:themeFill="background1" w:themeFillShade="A6"/>
          </w:tcPr>
          <w:p w14:paraId="0E40FF52" w14:textId="77777777" w:rsidR="00267429" w:rsidRPr="00CA34F5" w:rsidRDefault="00267429" w:rsidP="000A4C31">
            <w:pPr>
              <w:rPr>
                <w:rFonts w:ascii="Arial" w:hAnsi="Arial" w:cs="Arial"/>
                <w:b/>
              </w:rPr>
            </w:pPr>
            <w:r w:rsidRPr="00CA34F5">
              <w:rPr>
                <w:rFonts w:ascii="Arial" w:hAnsi="Arial" w:cs="Arial"/>
                <w:b/>
              </w:rPr>
              <w:t>%</w:t>
            </w:r>
          </w:p>
        </w:tc>
      </w:tr>
      <w:tr w:rsidR="00267429" w:rsidRPr="00CA34F5" w14:paraId="56B9045E" w14:textId="0FEA94DC" w:rsidTr="00267429">
        <w:trPr>
          <w:trHeight w:val="285"/>
        </w:trPr>
        <w:tc>
          <w:tcPr>
            <w:tcW w:w="8926" w:type="dxa"/>
          </w:tcPr>
          <w:p w14:paraId="1549764B" w14:textId="77777777" w:rsidR="00267429" w:rsidRPr="00CA34F5" w:rsidRDefault="00267429" w:rsidP="00263064">
            <w:pPr>
              <w:jc w:val="both"/>
              <w:rPr>
                <w:rFonts w:ascii="Arial" w:hAnsi="Arial" w:cs="Arial"/>
              </w:rPr>
            </w:pPr>
            <w:r w:rsidRPr="00CA34F5">
              <w:rPr>
                <w:rFonts w:ascii="Arial" w:hAnsi="Arial" w:cs="Arial"/>
                <w:vertAlign w:val="superscript"/>
              </w:rPr>
              <w:t>1.-</w:t>
            </w:r>
            <w:r w:rsidRPr="00CA34F5">
              <w:rPr>
                <w:rFonts w:ascii="Arial" w:hAnsi="Arial" w:cs="Arial"/>
              </w:rPr>
              <w:t>Anticipo Mensual de Participaciones</w:t>
            </w:r>
          </w:p>
        </w:tc>
        <w:tc>
          <w:tcPr>
            <w:tcW w:w="1984" w:type="dxa"/>
            <w:tcBorders>
              <w:top w:val="single" w:sz="4" w:space="0" w:color="auto"/>
              <w:bottom w:val="single" w:sz="4" w:space="0" w:color="auto"/>
              <w:right w:val="single" w:sz="4" w:space="0" w:color="auto"/>
            </w:tcBorders>
            <w:vAlign w:val="center"/>
          </w:tcPr>
          <w:p w14:paraId="3E4BE31A" w14:textId="77777777" w:rsidR="00267429" w:rsidRPr="00CA34F5" w:rsidRDefault="00267429" w:rsidP="00263064">
            <w:pPr>
              <w:jc w:val="right"/>
              <w:rPr>
                <w:rFonts w:ascii="Arial" w:hAnsi="Arial" w:cs="Arial"/>
                <w:color w:val="000000"/>
              </w:rPr>
            </w:pPr>
          </w:p>
          <w:p w14:paraId="00543DB5" w14:textId="2D6D370A" w:rsidR="00267429" w:rsidRPr="00CA34F5" w:rsidRDefault="00267429" w:rsidP="005C3B22">
            <w:pPr>
              <w:jc w:val="right"/>
              <w:rPr>
                <w:rFonts w:ascii="Arial" w:hAnsi="Arial" w:cs="Arial"/>
              </w:rPr>
            </w:pPr>
            <w:r w:rsidRPr="00CA34F5">
              <w:rPr>
                <w:rFonts w:ascii="Arial" w:hAnsi="Arial" w:cs="Arial"/>
              </w:rPr>
              <w:t>1,105,660,286</w:t>
            </w:r>
          </w:p>
        </w:tc>
        <w:tc>
          <w:tcPr>
            <w:tcW w:w="1134" w:type="dxa"/>
            <w:tcBorders>
              <w:top w:val="single" w:sz="4" w:space="0" w:color="auto"/>
              <w:left w:val="single" w:sz="4" w:space="0" w:color="auto"/>
              <w:bottom w:val="single" w:sz="4" w:space="0" w:color="auto"/>
              <w:right w:val="single" w:sz="4" w:space="0" w:color="auto"/>
            </w:tcBorders>
            <w:vAlign w:val="center"/>
          </w:tcPr>
          <w:p w14:paraId="3ACFF364" w14:textId="6DF66923" w:rsidR="00267429" w:rsidRPr="00CA34F5" w:rsidRDefault="00267429" w:rsidP="00263064">
            <w:pPr>
              <w:jc w:val="both"/>
              <w:rPr>
                <w:rFonts w:ascii="Arial" w:hAnsi="Arial" w:cs="Arial"/>
              </w:rPr>
            </w:pPr>
            <w:r w:rsidRPr="00CA34F5">
              <w:rPr>
                <w:rFonts w:ascii="Arial" w:hAnsi="Arial" w:cs="Arial"/>
              </w:rPr>
              <w:t>27.81</w:t>
            </w:r>
          </w:p>
        </w:tc>
      </w:tr>
      <w:tr w:rsidR="00267429" w:rsidRPr="00CA34F5" w14:paraId="12571B9A" w14:textId="77777777" w:rsidTr="00267429">
        <w:trPr>
          <w:trHeight w:val="497"/>
        </w:trPr>
        <w:tc>
          <w:tcPr>
            <w:tcW w:w="8926" w:type="dxa"/>
          </w:tcPr>
          <w:p w14:paraId="12E9657D" w14:textId="77777777" w:rsidR="00267429" w:rsidRPr="00CA34F5" w:rsidRDefault="00267429" w:rsidP="00263064">
            <w:pPr>
              <w:jc w:val="both"/>
              <w:rPr>
                <w:rFonts w:ascii="Arial" w:hAnsi="Arial" w:cs="Arial"/>
              </w:rPr>
            </w:pPr>
            <w:r w:rsidRPr="00CA34F5">
              <w:rPr>
                <w:rFonts w:ascii="Arial" w:hAnsi="Arial" w:cs="Arial"/>
                <w:color w:val="000000"/>
                <w:vertAlign w:val="superscript"/>
              </w:rPr>
              <w:t>2.-</w:t>
            </w:r>
            <w:r w:rsidRPr="00CA34F5">
              <w:rPr>
                <w:rFonts w:ascii="Arial" w:hAnsi="Arial" w:cs="Arial"/>
                <w:color w:val="000000"/>
              </w:rPr>
              <w:t>SCOTIABANK INVERLAT contrato de crédito simple y quirografario con plazo de 10 meses y tasa de interés TIIE+ 0.59 sin comisiones ni otros gastos.</w:t>
            </w:r>
          </w:p>
        </w:tc>
        <w:tc>
          <w:tcPr>
            <w:tcW w:w="1984" w:type="dxa"/>
            <w:tcBorders>
              <w:top w:val="single" w:sz="4" w:space="0" w:color="auto"/>
            </w:tcBorders>
            <w:vAlign w:val="center"/>
          </w:tcPr>
          <w:p w14:paraId="1EE72FFF" w14:textId="77777777" w:rsidR="00267429" w:rsidRPr="00CA34F5" w:rsidRDefault="00267429" w:rsidP="00263064">
            <w:pPr>
              <w:jc w:val="right"/>
              <w:rPr>
                <w:rFonts w:ascii="Arial" w:hAnsi="Arial" w:cs="Arial"/>
              </w:rPr>
            </w:pPr>
            <w:r w:rsidRPr="00CA34F5">
              <w:rPr>
                <w:rFonts w:ascii="Arial" w:hAnsi="Arial" w:cs="Arial"/>
              </w:rPr>
              <w:t>318,000,000</w:t>
            </w:r>
          </w:p>
        </w:tc>
        <w:tc>
          <w:tcPr>
            <w:tcW w:w="1134" w:type="dxa"/>
            <w:tcBorders>
              <w:top w:val="single" w:sz="4" w:space="0" w:color="auto"/>
            </w:tcBorders>
            <w:vAlign w:val="center"/>
          </w:tcPr>
          <w:p w14:paraId="26291D55" w14:textId="3A61B567" w:rsidR="00267429" w:rsidRPr="00CA34F5" w:rsidRDefault="00267429" w:rsidP="00263064">
            <w:pPr>
              <w:jc w:val="both"/>
              <w:rPr>
                <w:rFonts w:ascii="Arial" w:hAnsi="Arial" w:cs="Arial"/>
              </w:rPr>
            </w:pPr>
            <w:r w:rsidRPr="00CA34F5">
              <w:rPr>
                <w:rFonts w:ascii="Arial" w:hAnsi="Arial" w:cs="Arial"/>
              </w:rPr>
              <w:t xml:space="preserve">  8.00</w:t>
            </w:r>
          </w:p>
        </w:tc>
      </w:tr>
      <w:tr w:rsidR="00267429" w:rsidRPr="00CA34F5" w14:paraId="4DA9F69F" w14:textId="77777777" w:rsidTr="00267429">
        <w:trPr>
          <w:trHeight w:val="498"/>
        </w:trPr>
        <w:tc>
          <w:tcPr>
            <w:tcW w:w="8926" w:type="dxa"/>
          </w:tcPr>
          <w:p w14:paraId="32CA8EA1" w14:textId="77777777" w:rsidR="00267429" w:rsidRPr="00CA34F5" w:rsidRDefault="00267429" w:rsidP="00263064">
            <w:pPr>
              <w:jc w:val="both"/>
              <w:rPr>
                <w:rFonts w:ascii="Arial" w:hAnsi="Arial" w:cs="Arial"/>
              </w:rPr>
            </w:pPr>
            <w:r w:rsidRPr="00CA34F5">
              <w:rPr>
                <w:rFonts w:ascii="Arial" w:hAnsi="Arial" w:cs="Arial"/>
                <w:vertAlign w:val="superscript"/>
              </w:rPr>
              <w:t>2.-</w:t>
            </w:r>
            <w:r w:rsidRPr="00CA34F5">
              <w:rPr>
                <w:rFonts w:ascii="Arial" w:hAnsi="Arial" w:cs="Arial"/>
              </w:rPr>
              <w:t xml:space="preserve">HSBC contrato de crédito simple y quirografario con plazo de 10 </w:t>
            </w:r>
            <w:r w:rsidRPr="00CA34F5">
              <w:rPr>
                <w:rFonts w:ascii="Arial" w:hAnsi="Arial" w:cs="Arial"/>
                <w:color w:val="000000"/>
              </w:rPr>
              <w:t>meses</w:t>
            </w:r>
            <w:r w:rsidRPr="00CA34F5">
              <w:rPr>
                <w:rFonts w:ascii="Arial" w:hAnsi="Arial" w:cs="Arial"/>
              </w:rPr>
              <w:t xml:space="preserve"> y tasa de interés TIIE+1.34  sin comisiones ni otros gastos.</w:t>
            </w:r>
          </w:p>
        </w:tc>
        <w:tc>
          <w:tcPr>
            <w:tcW w:w="1984" w:type="dxa"/>
            <w:vAlign w:val="center"/>
          </w:tcPr>
          <w:p w14:paraId="1FCE8C5C" w14:textId="77777777" w:rsidR="00267429" w:rsidRPr="00CA34F5" w:rsidRDefault="00267429" w:rsidP="00263064">
            <w:pPr>
              <w:jc w:val="right"/>
              <w:rPr>
                <w:rFonts w:ascii="Arial" w:hAnsi="Arial" w:cs="Arial"/>
              </w:rPr>
            </w:pPr>
            <w:r w:rsidRPr="00CA34F5">
              <w:rPr>
                <w:rFonts w:ascii="Arial" w:hAnsi="Arial" w:cs="Arial"/>
              </w:rPr>
              <w:t>38,500,000</w:t>
            </w:r>
          </w:p>
        </w:tc>
        <w:tc>
          <w:tcPr>
            <w:tcW w:w="1134" w:type="dxa"/>
            <w:vAlign w:val="center"/>
          </w:tcPr>
          <w:p w14:paraId="51EB5F0A" w14:textId="77777777" w:rsidR="00267429" w:rsidRPr="00CA34F5" w:rsidRDefault="00267429" w:rsidP="00263064">
            <w:pPr>
              <w:jc w:val="both"/>
              <w:rPr>
                <w:rFonts w:ascii="Arial" w:hAnsi="Arial" w:cs="Arial"/>
              </w:rPr>
            </w:pPr>
            <w:r w:rsidRPr="00CA34F5">
              <w:rPr>
                <w:rFonts w:ascii="Arial" w:hAnsi="Arial" w:cs="Arial"/>
              </w:rPr>
              <w:t xml:space="preserve">  0.97</w:t>
            </w:r>
          </w:p>
        </w:tc>
      </w:tr>
      <w:tr w:rsidR="00267429" w:rsidRPr="00CA34F5" w14:paraId="0C9B9844" w14:textId="77777777" w:rsidTr="00267429">
        <w:trPr>
          <w:trHeight w:val="497"/>
        </w:trPr>
        <w:tc>
          <w:tcPr>
            <w:tcW w:w="8926" w:type="dxa"/>
          </w:tcPr>
          <w:p w14:paraId="0C67127F" w14:textId="77777777" w:rsidR="00267429" w:rsidRPr="00CA34F5" w:rsidRDefault="00267429" w:rsidP="00263064">
            <w:pPr>
              <w:jc w:val="both"/>
              <w:rPr>
                <w:rFonts w:ascii="Arial" w:hAnsi="Arial" w:cs="Arial"/>
              </w:rPr>
            </w:pPr>
            <w:r w:rsidRPr="00CA34F5">
              <w:rPr>
                <w:rFonts w:ascii="Arial" w:hAnsi="Arial" w:cs="Arial"/>
                <w:vertAlign w:val="superscript"/>
              </w:rPr>
              <w:t>2.-</w:t>
            </w:r>
            <w:r w:rsidRPr="00CA34F5">
              <w:rPr>
                <w:rFonts w:ascii="Arial" w:hAnsi="Arial" w:cs="Arial"/>
              </w:rPr>
              <w:t xml:space="preserve">SANTANDER contrato de crédito simple y quirografario con plazo de 10 </w:t>
            </w:r>
            <w:r w:rsidRPr="00CA34F5">
              <w:rPr>
                <w:rFonts w:ascii="Arial" w:hAnsi="Arial" w:cs="Arial"/>
                <w:color w:val="000000"/>
              </w:rPr>
              <w:t>meses</w:t>
            </w:r>
            <w:r w:rsidRPr="00CA34F5">
              <w:rPr>
                <w:rFonts w:ascii="Arial" w:hAnsi="Arial" w:cs="Arial"/>
              </w:rPr>
              <w:t xml:space="preserve"> y tasa de interés TIIE+ 0.82 sin comisiones ni otros gastos.</w:t>
            </w:r>
          </w:p>
        </w:tc>
        <w:tc>
          <w:tcPr>
            <w:tcW w:w="1984" w:type="dxa"/>
            <w:vAlign w:val="center"/>
          </w:tcPr>
          <w:p w14:paraId="693D58B8" w14:textId="77777777" w:rsidR="00267429" w:rsidRPr="00CA34F5" w:rsidRDefault="00267429" w:rsidP="00263064">
            <w:pPr>
              <w:jc w:val="right"/>
              <w:rPr>
                <w:rFonts w:ascii="Arial" w:hAnsi="Arial" w:cs="Arial"/>
              </w:rPr>
            </w:pPr>
            <w:r w:rsidRPr="00CA34F5">
              <w:rPr>
                <w:rFonts w:ascii="Arial" w:hAnsi="Arial" w:cs="Arial"/>
              </w:rPr>
              <w:t>120,000,000</w:t>
            </w:r>
          </w:p>
        </w:tc>
        <w:tc>
          <w:tcPr>
            <w:tcW w:w="1134" w:type="dxa"/>
            <w:vAlign w:val="center"/>
          </w:tcPr>
          <w:p w14:paraId="718168BA" w14:textId="28411D8B" w:rsidR="00267429" w:rsidRPr="00CA34F5" w:rsidRDefault="00267429" w:rsidP="00263064">
            <w:pPr>
              <w:jc w:val="both"/>
              <w:rPr>
                <w:rFonts w:ascii="Arial" w:hAnsi="Arial" w:cs="Arial"/>
              </w:rPr>
            </w:pPr>
            <w:r w:rsidRPr="00CA34F5">
              <w:rPr>
                <w:rFonts w:ascii="Arial" w:hAnsi="Arial" w:cs="Arial"/>
              </w:rPr>
              <w:t xml:space="preserve">  3.02</w:t>
            </w:r>
          </w:p>
        </w:tc>
      </w:tr>
      <w:tr w:rsidR="00267429" w:rsidRPr="00CA34F5" w14:paraId="1B9ACBF7" w14:textId="77777777" w:rsidTr="00267429">
        <w:trPr>
          <w:trHeight w:val="497"/>
        </w:trPr>
        <w:tc>
          <w:tcPr>
            <w:tcW w:w="8926" w:type="dxa"/>
          </w:tcPr>
          <w:p w14:paraId="482D235F" w14:textId="77777777" w:rsidR="00267429" w:rsidRPr="00CA34F5" w:rsidRDefault="00267429" w:rsidP="00263064">
            <w:pPr>
              <w:jc w:val="both"/>
              <w:rPr>
                <w:rFonts w:ascii="Arial" w:hAnsi="Arial" w:cs="Arial"/>
              </w:rPr>
            </w:pPr>
            <w:r w:rsidRPr="00CA34F5">
              <w:rPr>
                <w:rFonts w:ascii="Arial" w:hAnsi="Arial" w:cs="Arial"/>
                <w:vertAlign w:val="superscript"/>
              </w:rPr>
              <w:t>2.-</w:t>
            </w:r>
            <w:r w:rsidRPr="00CA34F5">
              <w:rPr>
                <w:rFonts w:ascii="Arial" w:hAnsi="Arial" w:cs="Arial"/>
              </w:rPr>
              <w:t xml:space="preserve">SANTANDER contrato de crédito simple y quirografario con plazo de 10 </w:t>
            </w:r>
            <w:r w:rsidRPr="00CA34F5">
              <w:rPr>
                <w:rFonts w:ascii="Arial" w:hAnsi="Arial" w:cs="Arial"/>
                <w:color w:val="000000"/>
              </w:rPr>
              <w:t>meses</w:t>
            </w:r>
            <w:r w:rsidRPr="00CA34F5">
              <w:rPr>
                <w:rFonts w:ascii="Arial" w:hAnsi="Arial" w:cs="Arial"/>
              </w:rPr>
              <w:t xml:space="preserve"> y tasa de interés TIIE+ 0.67 sin comisiones ni otros gastos.</w:t>
            </w:r>
          </w:p>
        </w:tc>
        <w:tc>
          <w:tcPr>
            <w:tcW w:w="1984" w:type="dxa"/>
            <w:vAlign w:val="center"/>
          </w:tcPr>
          <w:p w14:paraId="06B2D5F9" w14:textId="77777777" w:rsidR="00267429" w:rsidRPr="00CA34F5" w:rsidRDefault="00267429" w:rsidP="00263064">
            <w:pPr>
              <w:jc w:val="right"/>
              <w:rPr>
                <w:rFonts w:ascii="Arial" w:hAnsi="Arial" w:cs="Arial"/>
              </w:rPr>
            </w:pPr>
            <w:r w:rsidRPr="00CA34F5">
              <w:rPr>
                <w:rFonts w:ascii="Arial" w:hAnsi="Arial" w:cs="Arial"/>
              </w:rPr>
              <w:t>300,000,000</w:t>
            </w:r>
          </w:p>
        </w:tc>
        <w:tc>
          <w:tcPr>
            <w:tcW w:w="1134" w:type="dxa"/>
            <w:vAlign w:val="center"/>
          </w:tcPr>
          <w:p w14:paraId="15C7587F" w14:textId="77777777" w:rsidR="00267429" w:rsidRPr="00CA34F5" w:rsidRDefault="00267429" w:rsidP="00263064">
            <w:pPr>
              <w:jc w:val="both"/>
              <w:rPr>
                <w:rFonts w:ascii="Arial" w:hAnsi="Arial" w:cs="Arial"/>
              </w:rPr>
            </w:pPr>
            <w:r w:rsidRPr="00CA34F5">
              <w:rPr>
                <w:rFonts w:ascii="Arial" w:hAnsi="Arial" w:cs="Arial"/>
              </w:rPr>
              <w:t xml:space="preserve">  7.54</w:t>
            </w:r>
          </w:p>
        </w:tc>
      </w:tr>
      <w:tr w:rsidR="00267429" w:rsidRPr="00CA34F5" w14:paraId="4C3687CC" w14:textId="77777777" w:rsidTr="00267429">
        <w:trPr>
          <w:trHeight w:val="497"/>
        </w:trPr>
        <w:tc>
          <w:tcPr>
            <w:tcW w:w="8926" w:type="dxa"/>
          </w:tcPr>
          <w:p w14:paraId="1C8F95AE" w14:textId="77777777" w:rsidR="00267429" w:rsidRPr="00CA34F5" w:rsidRDefault="00267429" w:rsidP="00263064">
            <w:pPr>
              <w:jc w:val="both"/>
              <w:rPr>
                <w:rFonts w:ascii="Arial" w:hAnsi="Arial" w:cs="Arial"/>
                <w:vertAlign w:val="superscript"/>
              </w:rPr>
            </w:pPr>
            <w:r w:rsidRPr="00CA34F5">
              <w:rPr>
                <w:rFonts w:ascii="Arial" w:hAnsi="Arial" w:cs="Arial"/>
                <w:vertAlign w:val="superscript"/>
              </w:rPr>
              <w:t>2.-</w:t>
            </w:r>
            <w:r w:rsidRPr="00CA34F5">
              <w:rPr>
                <w:rFonts w:ascii="Arial" w:hAnsi="Arial" w:cs="Arial"/>
              </w:rPr>
              <w:t xml:space="preserve">BBVA MÉXICO contrato de crédito simple y quirografario con plazo de 10 </w:t>
            </w:r>
            <w:r w:rsidRPr="00CA34F5">
              <w:rPr>
                <w:rFonts w:ascii="Arial" w:hAnsi="Arial" w:cs="Arial"/>
                <w:color w:val="000000"/>
              </w:rPr>
              <w:t>meses</w:t>
            </w:r>
            <w:r w:rsidRPr="00CA34F5">
              <w:rPr>
                <w:rFonts w:ascii="Arial" w:hAnsi="Arial" w:cs="Arial"/>
              </w:rPr>
              <w:t xml:space="preserve"> y tasa de interés TIIE+ 0.88 sin comisiones ni otros gastos.</w:t>
            </w:r>
          </w:p>
        </w:tc>
        <w:tc>
          <w:tcPr>
            <w:tcW w:w="1984" w:type="dxa"/>
            <w:vAlign w:val="center"/>
          </w:tcPr>
          <w:p w14:paraId="4B6DEA9C" w14:textId="77777777" w:rsidR="00267429" w:rsidRPr="00CA34F5" w:rsidRDefault="00267429" w:rsidP="00263064">
            <w:pPr>
              <w:jc w:val="right"/>
              <w:rPr>
                <w:rFonts w:ascii="Arial" w:hAnsi="Arial" w:cs="Arial"/>
              </w:rPr>
            </w:pPr>
            <w:r w:rsidRPr="00CA34F5">
              <w:rPr>
                <w:rFonts w:ascii="Arial" w:hAnsi="Arial" w:cs="Arial"/>
              </w:rPr>
              <w:t>219,000,000</w:t>
            </w:r>
          </w:p>
        </w:tc>
        <w:tc>
          <w:tcPr>
            <w:tcW w:w="1134" w:type="dxa"/>
            <w:vAlign w:val="center"/>
          </w:tcPr>
          <w:p w14:paraId="52CE3791" w14:textId="439C337B" w:rsidR="00267429" w:rsidRPr="00CA34F5" w:rsidRDefault="00267429" w:rsidP="00263064">
            <w:pPr>
              <w:jc w:val="both"/>
              <w:rPr>
                <w:rFonts w:ascii="Arial" w:hAnsi="Arial" w:cs="Arial"/>
              </w:rPr>
            </w:pPr>
            <w:r w:rsidRPr="00CA34F5">
              <w:rPr>
                <w:rFonts w:ascii="Arial" w:hAnsi="Arial" w:cs="Arial"/>
              </w:rPr>
              <w:t xml:space="preserve">  5.51</w:t>
            </w:r>
          </w:p>
        </w:tc>
      </w:tr>
      <w:tr w:rsidR="00267429" w:rsidRPr="00CA34F5" w14:paraId="3466EE75" w14:textId="77777777" w:rsidTr="00267429">
        <w:trPr>
          <w:trHeight w:val="164"/>
        </w:trPr>
        <w:tc>
          <w:tcPr>
            <w:tcW w:w="8926" w:type="dxa"/>
          </w:tcPr>
          <w:p w14:paraId="630479F2" w14:textId="77777777" w:rsidR="00267429" w:rsidRPr="00CA34F5" w:rsidRDefault="00267429" w:rsidP="00263064">
            <w:pPr>
              <w:jc w:val="both"/>
              <w:rPr>
                <w:rFonts w:ascii="Arial" w:hAnsi="Arial" w:cs="Arial"/>
                <w:vertAlign w:val="superscript"/>
              </w:rPr>
            </w:pPr>
            <w:r w:rsidRPr="00CA34F5">
              <w:rPr>
                <w:rFonts w:ascii="Arial" w:hAnsi="Arial" w:cs="Arial"/>
                <w:color w:val="000000"/>
                <w:vertAlign w:val="superscript"/>
              </w:rPr>
              <w:t>2.-</w:t>
            </w:r>
            <w:r w:rsidRPr="00CA34F5">
              <w:rPr>
                <w:rFonts w:ascii="Arial" w:hAnsi="Arial" w:cs="Arial"/>
                <w:color w:val="000000"/>
              </w:rPr>
              <w:t>SCOTIABANK INVERLAT contrato de crédito simple y quirografario con plazo de 10 meses y tasa de interés TIIE+ 0.49 sin comisiones ni otros gastos</w:t>
            </w:r>
          </w:p>
        </w:tc>
        <w:tc>
          <w:tcPr>
            <w:tcW w:w="1984" w:type="dxa"/>
            <w:vAlign w:val="center"/>
          </w:tcPr>
          <w:p w14:paraId="3DC714C7" w14:textId="77777777" w:rsidR="00267429" w:rsidRPr="00CA34F5" w:rsidRDefault="00267429" w:rsidP="00263064">
            <w:pPr>
              <w:jc w:val="right"/>
              <w:rPr>
                <w:rFonts w:ascii="Arial" w:hAnsi="Arial" w:cs="Arial"/>
              </w:rPr>
            </w:pPr>
            <w:r w:rsidRPr="00CA34F5">
              <w:rPr>
                <w:rFonts w:ascii="Arial" w:hAnsi="Arial" w:cs="Arial"/>
              </w:rPr>
              <w:t>100,000,000</w:t>
            </w:r>
          </w:p>
        </w:tc>
        <w:tc>
          <w:tcPr>
            <w:tcW w:w="1134" w:type="dxa"/>
            <w:vAlign w:val="center"/>
          </w:tcPr>
          <w:p w14:paraId="1974E44C" w14:textId="77777777" w:rsidR="00267429" w:rsidRPr="00CA34F5" w:rsidRDefault="00267429" w:rsidP="00263064">
            <w:pPr>
              <w:jc w:val="both"/>
              <w:rPr>
                <w:rFonts w:ascii="Arial" w:hAnsi="Arial" w:cs="Arial"/>
              </w:rPr>
            </w:pPr>
            <w:r w:rsidRPr="00CA34F5">
              <w:rPr>
                <w:rFonts w:ascii="Arial" w:hAnsi="Arial" w:cs="Arial"/>
              </w:rPr>
              <w:t xml:space="preserve">   2,51</w:t>
            </w:r>
          </w:p>
        </w:tc>
      </w:tr>
      <w:tr w:rsidR="00267429" w:rsidRPr="00CA34F5" w14:paraId="78FBB100" w14:textId="77777777" w:rsidTr="00267429">
        <w:trPr>
          <w:trHeight w:val="164"/>
        </w:trPr>
        <w:tc>
          <w:tcPr>
            <w:tcW w:w="8926" w:type="dxa"/>
          </w:tcPr>
          <w:p w14:paraId="6BD6D6D8" w14:textId="77777777" w:rsidR="00267429" w:rsidRPr="00CA34F5" w:rsidRDefault="00267429" w:rsidP="00263064">
            <w:pPr>
              <w:jc w:val="both"/>
              <w:rPr>
                <w:rFonts w:ascii="Arial" w:hAnsi="Arial" w:cs="Arial"/>
                <w:vertAlign w:val="superscript"/>
              </w:rPr>
            </w:pPr>
            <w:r w:rsidRPr="00CA34F5">
              <w:rPr>
                <w:rFonts w:ascii="Arial" w:hAnsi="Arial" w:cs="Arial"/>
                <w:vertAlign w:val="superscript"/>
              </w:rPr>
              <w:t>2.-</w:t>
            </w:r>
            <w:r w:rsidRPr="00CA34F5">
              <w:rPr>
                <w:rFonts w:ascii="Arial" w:hAnsi="Arial" w:cs="Arial"/>
              </w:rPr>
              <w:t xml:space="preserve">HSBC contrato de crédito simple y quirografario con plazo de 10 </w:t>
            </w:r>
            <w:r w:rsidRPr="00CA34F5">
              <w:rPr>
                <w:rFonts w:ascii="Arial" w:hAnsi="Arial" w:cs="Arial"/>
                <w:color w:val="000000"/>
              </w:rPr>
              <w:t>meses</w:t>
            </w:r>
            <w:r w:rsidRPr="00CA34F5">
              <w:rPr>
                <w:rFonts w:ascii="Arial" w:hAnsi="Arial" w:cs="Arial"/>
              </w:rPr>
              <w:t xml:space="preserve"> y tasa de interés TIIE+0.49  sin comisiones ni otros gastos.</w:t>
            </w:r>
          </w:p>
        </w:tc>
        <w:tc>
          <w:tcPr>
            <w:tcW w:w="1984" w:type="dxa"/>
            <w:vAlign w:val="center"/>
          </w:tcPr>
          <w:p w14:paraId="2BFCFC3B" w14:textId="77777777" w:rsidR="00267429" w:rsidRPr="00CA34F5" w:rsidRDefault="00267429" w:rsidP="00263064">
            <w:pPr>
              <w:jc w:val="right"/>
              <w:rPr>
                <w:rFonts w:ascii="Arial" w:hAnsi="Arial" w:cs="Arial"/>
              </w:rPr>
            </w:pPr>
            <w:r w:rsidRPr="00CA34F5">
              <w:rPr>
                <w:rFonts w:ascii="Arial" w:hAnsi="Arial" w:cs="Arial"/>
              </w:rPr>
              <w:t>120,000,000</w:t>
            </w:r>
          </w:p>
        </w:tc>
        <w:tc>
          <w:tcPr>
            <w:tcW w:w="1134" w:type="dxa"/>
            <w:vAlign w:val="center"/>
          </w:tcPr>
          <w:p w14:paraId="23651C4E" w14:textId="0BC45886" w:rsidR="00267429" w:rsidRPr="00CA34F5" w:rsidRDefault="00267429" w:rsidP="00263064">
            <w:pPr>
              <w:jc w:val="both"/>
              <w:rPr>
                <w:rFonts w:ascii="Arial" w:hAnsi="Arial" w:cs="Arial"/>
              </w:rPr>
            </w:pPr>
            <w:r w:rsidRPr="00CA34F5">
              <w:rPr>
                <w:rFonts w:ascii="Arial" w:hAnsi="Arial" w:cs="Arial"/>
              </w:rPr>
              <w:t xml:space="preserve">   3.02</w:t>
            </w:r>
          </w:p>
        </w:tc>
      </w:tr>
      <w:tr w:rsidR="00267429" w:rsidRPr="00CA34F5" w14:paraId="652C81DD" w14:textId="77777777" w:rsidTr="00267429">
        <w:trPr>
          <w:trHeight w:val="164"/>
        </w:trPr>
        <w:tc>
          <w:tcPr>
            <w:tcW w:w="8926" w:type="dxa"/>
          </w:tcPr>
          <w:p w14:paraId="6AC256F1" w14:textId="77777777" w:rsidR="00267429" w:rsidRPr="00CA34F5" w:rsidRDefault="00267429" w:rsidP="00263064">
            <w:pPr>
              <w:jc w:val="both"/>
              <w:rPr>
                <w:rFonts w:ascii="Arial" w:hAnsi="Arial" w:cs="Arial"/>
                <w:vertAlign w:val="superscript"/>
              </w:rPr>
            </w:pPr>
            <w:r w:rsidRPr="00CA34F5">
              <w:rPr>
                <w:rFonts w:ascii="Arial" w:hAnsi="Arial" w:cs="Arial"/>
                <w:vertAlign w:val="superscript"/>
              </w:rPr>
              <w:t>2.-</w:t>
            </w:r>
            <w:r w:rsidRPr="00CA34F5">
              <w:rPr>
                <w:rFonts w:ascii="Arial" w:hAnsi="Arial" w:cs="Arial"/>
              </w:rPr>
              <w:t xml:space="preserve">SANTANDER contrato de crédito simple y quirografario con plazo de 10 </w:t>
            </w:r>
            <w:r w:rsidRPr="00CA34F5">
              <w:rPr>
                <w:rFonts w:ascii="Arial" w:hAnsi="Arial" w:cs="Arial"/>
                <w:color w:val="000000"/>
              </w:rPr>
              <w:t>meses</w:t>
            </w:r>
            <w:r w:rsidRPr="00CA34F5">
              <w:rPr>
                <w:rFonts w:ascii="Arial" w:hAnsi="Arial" w:cs="Arial"/>
              </w:rPr>
              <w:t xml:space="preserve"> y tasa de interés TIIE+ 0.71 sin comisiones ni otros gastos.</w:t>
            </w:r>
          </w:p>
        </w:tc>
        <w:tc>
          <w:tcPr>
            <w:tcW w:w="1984" w:type="dxa"/>
            <w:vAlign w:val="center"/>
          </w:tcPr>
          <w:p w14:paraId="3C8E44D3" w14:textId="77777777" w:rsidR="00267429" w:rsidRPr="00CA34F5" w:rsidRDefault="00267429" w:rsidP="00263064">
            <w:pPr>
              <w:jc w:val="right"/>
              <w:rPr>
                <w:rFonts w:ascii="Arial" w:hAnsi="Arial" w:cs="Arial"/>
              </w:rPr>
            </w:pPr>
            <w:r w:rsidRPr="00CA34F5">
              <w:rPr>
                <w:rFonts w:ascii="Arial" w:hAnsi="Arial" w:cs="Arial"/>
              </w:rPr>
              <w:t>280,000,000</w:t>
            </w:r>
          </w:p>
        </w:tc>
        <w:tc>
          <w:tcPr>
            <w:tcW w:w="1134" w:type="dxa"/>
            <w:vAlign w:val="center"/>
          </w:tcPr>
          <w:p w14:paraId="38F3345C" w14:textId="2D17785A" w:rsidR="00267429" w:rsidRPr="00CA34F5" w:rsidRDefault="00267429" w:rsidP="00263064">
            <w:pPr>
              <w:jc w:val="both"/>
              <w:rPr>
                <w:rFonts w:ascii="Arial" w:hAnsi="Arial" w:cs="Arial"/>
              </w:rPr>
            </w:pPr>
            <w:r w:rsidRPr="00CA34F5">
              <w:rPr>
                <w:rFonts w:ascii="Arial" w:hAnsi="Arial" w:cs="Arial"/>
              </w:rPr>
              <w:t xml:space="preserve">   7.04</w:t>
            </w:r>
          </w:p>
        </w:tc>
      </w:tr>
      <w:tr w:rsidR="00267429" w:rsidRPr="00CA34F5" w14:paraId="18C0FEB4" w14:textId="77777777" w:rsidTr="00267429">
        <w:trPr>
          <w:trHeight w:val="164"/>
        </w:trPr>
        <w:tc>
          <w:tcPr>
            <w:tcW w:w="8926" w:type="dxa"/>
          </w:tcPr>
          <w:p w14:paraId="777EF052" w14:textId="77777777" w:rsidR="00267429" w:rsidRPr="00CA34F5" w:rsidRDefault="00267429" w:rsidP="00263064">
            <w:pPr>
              <w:jc w:val="both"/>
              <w:rPr>
                <w:rFonts w:ascii="Arial" w:hAnsi="Arial" w:cs="Arial"/>
                <w:vertAlign w:val="superscript"/>
              </w:rPr>
            </w:pPr>
            <w:r w:rsidRPr="00CA34F5">
              <w:rPr>
                <w:rFonts w:ascii="Arial" w:hAnsi="Arial" w:cs="Arial"/>
                <w:vertAlign w:val="superscript"/>
              </w:rPr>
              <w:t>2.-</w:t>
            </w:r>
            <w:r w:rsidRPr="00CA34F5">
              <w:rPr>
                <w:rFonts w:ascii="Arial" w:hAnsi="Arial" w:cs="Arial"/>
              </w:rPr>
              <w:t xml:space="preserve">HSBC contrato de crédito simple y quirografario con plazo de 10 </w:t>
            </w:r>
            <w:r w:rsidRPr="00CA34F5">
              <w:rPr>
                <w:rFonts w:ascii="Arial" w:hAnsi="Arial" w:cs="Arial"/>
                <w:color w:val="000000"/>
              </w:rPr>
              <w:t>meses</w:t>
            </w:r>
            <w:r w:rsidRPr="00CA34F5">
              <w:rPr>
                <w:rFonts w:ascii="Arial" w:hAnsi="Arial" w:cs="Arial"/>
              </w:rPr>
              <w:t xml:space="preserve"> y tasa de interés TIIE+0.72  sin comisiones ni otros gastos.</w:t>
            </w:r>
          </w:p>
        </w:tc>
        <w:tc>
          <w:tcPr>
            <w:tcW w:w="1984" w:type="dxa"/>
            <w:vAlign w:val="center"/>
          </w:tcPr>
          <w:p w14:paraId="5BD66F5A" w14:textId="77777777" w:rsidR="00267429" w:rsidRPr="00CA34F5" w:rsidRDefault="00267429" w:rsidP="00263064">
            <w:pPr>
              <w:jc w:val="right"/>
              <w:rPr>
                <w:rFonts w:ascii="Arial" w:hAnsi="Arial" w:cs="Arial"/>
              </w:rPr>
            </w:pPr>
            <w:r w:rsidRPr="00CA34F5">
              <w:rPr>
                <w:rFonts w:ascii="Arial" w:hAnsi="Arial" w:cs="Arial"/>
              </w:rPr>
              <w:t>200,000,000</w:t>
            </w:r>
          </w:p>
        </w:tc>
        <w:tc>
          <w:tcPr>
            <w:tcW w:w="1134" w:type="dxa"/>
            <w:vAlign w:val="center"/>
          </w:tcPr>
          <w:p w14:paraId="4C7AA962" w14:textId="1E147F9C" w:rsidR="00267429" w:rsidRPr="00CA34F5" w:rsidRDefault="00267429" w:rsidP="00263064">
            <w:pPr>
              <w:jc w:val="both"/>
              <w:rPr>
                <w:rFonts w:ascii="Arial" w:hAnsi="Arial" w:cs="Arial"/>
              </w:rPr>
            </w:pPr>
            <w:r w:rsidRPr="00CA34F5">
              <w:rPr>
                <w:rFonts w:ascii="Arial" w:hAnsi="Arial" w:cs="Arial"/>
              </w:rPr>
              <w:t xml:space="preserve">   5.03</w:t>
            </w:r>
          </w:p>
        </w:tc>
      </w:tr>
      <w:tr w:rsidR="00267429" w:rsidRPr="00CA34F5" w14:paraId="32BCFF06" w14:textId="77777777" w:rsidTr="00267429">
        <w:trPr>
          <w:trHeight w:val="164"/>
        </w:trPr>
        <w:tc>
          <w:tcPr>
            <w:tcW w:w="8926" w:type="dxa"/>
          </w:tcPr>
          <w:p w14:paraId="3EF7FAA9" w14:textId="77777777" w:rsidR="00267429" w:rsidRPr="00CA34F5" w:rsidRDefault="00267429" w:rsidP="00263064">
            <w:pPr>
              <w:jc w:val="both"/>
              <w:rPr>
                <w:rFonts w:ascii="Arial" w:hAnsi="Arial" w:cs="Arial"/>
                <w:vertAlign w:val="superscript"/>
              </w:rPr>
            </w:pPr>
            <w:r w:rsidRPr="00CA34F5">
              <w:rPr>
                <w:rFonts w:ascii="Arial" w:hAnsi="Arial" w:cs="Arial"/>
                <w:vertAlign w:val="superscript"/>
              </w:rPr>
              <w:t>2.-</w:t>
            </w:r>
            <w:r w:rsidRPr="00CA34F5">
              <w:rPr>
                <w:rFonts w:ascii="Arial" w:hAnsi="Arial" w:cs="Arial"/>
              </w:rPr>
              <w:t xml:space="preserve">BBVA MÉXICO contrato de crédito simple y quirografario con plazo de 10 </w:t>
            </w:r>
            <w:r w:rsidRPr="00CA34F5">
              <w:rPr>
                <w:rFonts w:ascii="Arial" w:hAnsi="Arial" w:cs="Arial"/>
                <w:color w:val="000000"/>
              </w:rPr>
              <w:t>meses</w:t>
            </w:r>
            <w:r w:rsidRPr="00CA34F5">
              <w:rPr>
                <w:rFonts w:ascii="Arial" w:hAnsi="Arial" w:cs="Arial"/>
              </w:rPr>
              <w:t xml:space="preserve"> y tasa de interés TIIE+ 0.74 sin comisiones ni otros gastos.</w:t>
            </w:r>
          </w:p>
        </w:tc>
        <w:tc>
          <w:tcPr>
            <w:tcW w:w="1984" w:type="dxa"/>
            <w:vAlign w:val="center"/>
          </w:tcPr>
          <w:p w14:paraId="4A57F2DF" w14:textId="77777777" w:rsidR="00267429" w:rsidRPr="00CA34F5" w:rsidRDefault="00267429" w:rsidP="00263064">
            <w:pPr>
              <w:jc w:val="right"/>
              <w:rPr>
                <w:rFonts w:ascii="Arial" w:hAnsi="Arial" w:cs="Arial"/>
              </w:rPr>
            </w:pPr>
            <w:r w:rsidRPr="00CA34F5">
              <w:rPr>
                <w:rFonts w:ascii="Arial" w:hAnsi="Arial" w:cs="Arial"/>
              </w:rPr>
              <w:t>140,000,000</w:t>
            </w:r>
          </w:p>
        </w:tc>
        <w:tc>
          <w:tcPr>
            <w:tcW w:w="1134" w:type="dxa"/>
            <w:vAlign w:val="center"/>
          </w:tcPr>
          <w:p w14:paraId="2B0D27CF" w14:textId="77777777" w:rsidR="00267429" w:rsidRPr="00CA34F5" w:rsidRDefault="00267429" w:rsidP="00263064">
            <w:pPr>
              <w:jc w:val="both"/>
              <w:rPr>
                <w:rFonts w:ascii="Arial" w:hAnsi="Arial" w:cs="Arial"/>
              </w:rPr>
            </w:pPr>
            <w:r w:rsidRPr="00CA34F5">
              <w:rPr>
                <w:rFonts w:ascii="Arial" w:hAnsi="Arial" w:cs="Arial"/>
              </w:rPr>
              <w:t xml:space="preserve">   3.52</w:t>
            </w:r>
          </w:p>
        </w:tc>
      </w:tr>
      <w:tr w:rsidR="00267429" w:rsidRPr="00CA34F5" w14:paraId="0397DBA0" w14:textId="77777777" w:rsidTr="00267429">
        <w:trPr>
          <w:trHeight w:val="164"/>
        </w:trPr>
        <w:tc>
          <w:tcPr>
            <w:tcW w:w="8926" w:type="dxa"/>
          </w:tcPr>
          <w:p w14:paraId="17906651" w14:textId="77777777" w:rsidR="00267429" w:rsidRPr="00CA34F5" w:rsidRDefault="00267429" w:rsidP="00263064">
            <w:pPr>
              <w:jc w:val="both"/>
              <w:rPr>
                <w:rFonts w:ascii="Arial" w:hAnsi="Arial" w:cs="Arial"/>
                <w:vertAlign w:val="superscript"/>
              </w:rPr>
            </w:pPr>
            <w:r w:rsidRPr="00CA34F5">
              <w:rPr>
                <w:rFonts w:ascii="Arial" w:hAnsi="Arial" w:cs="Arial"/>
                <w:vertAlign w:val="superscript"/>
              </w:rPr>
              <w:t>2.-</w:t>
            </w:r>
            <w:r w:rsidRPr="00CA34F5">
              <w:rPr>
                <w:rFonts w:ascii="Arial" w:hAnsi="Arial" w:cs="Arial"/>
              </w:rPr>
              <w:t xml:space="preserve">BANORTE contrato de crédito simple y quirografario con plazo de 10 </w:t>
            </w:r>
            <w:r w:rsidRPr="00CA34F5">
              <w:rPr>
                <w:rFonts w:ascii="Arial" w:hAnsi="Arial" w:cs="Arial"/>
                <w:color w:val="000000"/>
              </w:rPr>
              <w:t>meses</w:t>
            </w:r>
            <w:r w:rsidRPr="00CA34F5">
              <w:rPr>
                <w:rFonts w:ascii="Arial" w:hAnsi="Arial" w:cs="Arial"/>
              </w:rPr>
              <w:t xml:space="preserve"> y tasa de interés TIIE+0.8  sin comisiones ni otros gastos.</w:t>
            </w:r>
          </w:p>
        </w:tc>
        <w:tc>
          <w:tcPr>
            <w:tcW w:w="1984" w:type="dxa"/>
            <w:vAlign w:val="center"/>
          </w:tcPr>
          <w:p w14:paraId="19B202CD" w14:textId="77777777" w:rsidR="00267429" w:rsidRPr="00CA34F5" w:rsidRDefault="00267429" w:rsidP="00263064">
            <w:pPr>
              <w:jc w:val="right"/>
              <w:rPr>
                <w:rFonts w:ascii="Arial" w:hAnsi="Arial" w:cs="Arial"/>
              </w:rPr>
            </w:pPr>
            <w:r w:rsidRPr="00CA34F5">
              <w:rPr>
                <w:rFonts w:ascii="Arial" w:hAnsi="Arial" w:cs="Arial"/>
              </w:rPr>
              <w:t>180,000,000</w:t>
            </w:r>
          </w:p>
        </w:tc>
        <w:tc>
          <w:tcPr>
            <w:tcW w:w="1134" w:type="dxa"/>
            <w:vAlign w:val="center"/>
          </w:tcPr>
          <w:p w14:paraId="5D222FFD" w14:textId="5567A2CD" w:rsidR="00267429" w:rsidRPr="00CA34F5" w:rsidRDefault="00267429" w:rsidP="00263064">
            <w:pPr>
              <w:jc w:val="both"/>
              <w:rPr>
                <w:rFonts w:ascii="Arial" w:hAnsi="Arial" w:cs="Arial"/>
              </w:rPr>
            </w:pPr>
            <w:r w:rsidRPr="00CA34F5">
              <w:rPr>
                <w:rFonts w:ascii="Arial" w:hAnsi="Arial" w:cs="Arial"/>
              </w:rPr>
              <w:t xml:space="preserve">   4.53</w:t>
            </w:r>
          </w:p>
        </w:tc>
      </w:tr>
      <w:tr w:rsidR="00267429" w:rsidRPr="00CA34F5" w14:paraId="0D8E502D" w14:textId="77777777" w:rsidTr="00267429">
        <w:trPr>
          <w:trHeight w:val="164"/>
        </w:trPr>
        <w:tc>
          <w:tcPr>
            <w:tcW w:w="8926" w:type="dxa"/>
          </w:tcPr>
          <w:p w14:paraId="73D12D03" w14:textId="77777777" w:rsidR="00267429" w:rsidRPr="00CA34F5" w:rsidRDefault="00267429" w:rsidP="00263064">
            <w:pPr>
              <w:jc w:val="both"/>
              <w:rPr>
                <w:rFonts w:ascii="Arial" w:hAnsi="Arial" w:cs="Arial"/>
                <w:vertAlign w:val="superscript"/>
              </w:rPr>
            </w:pPr>
            <w:r w:rsidRPr="00CA34F5">
              <w:rPr>
                <w:rFonts w:ascii="Arial" w:hAnsi="Arial" w:cs="Arial"/>
                <w:vertAlign w:val="superscript"/>
              </w:rPr>
              <w:t>2.-</w:t>
            </w:r>
            <w:r w:rsidRPr="00CA34F5">
              <w:rPr>
                <w:rFonts w:ascii="Arial" w:hAnsi="Arial" w:cs="Arial"/>
              </w:rPr>
              <w:t xml:space="preserve">HSBC contrato de crédito simple y quirografario con plazo de 10 </w:t>
            </w:r>
            <w:r w:rsidRPr="00CA34F5">
              <w:rPr>
                <w:rFonts w:ascii="Arial" w:hAnsi="Arial" w:cs="Arial"/>
                <w:color w:val="000000"/>
              </w:rPr>
              <w:t>meses</w:t>
            </w:r>
            <w:r w:rsidRPr="00CA34F5">
              <w:rPr>
                <w:rFonts w:ascii="Arial" w:hAnsi="Arial" w:cs="Arial"/>
              </w:rPr>
              <w:t xml:space="preserve"> y tasa de interés TIIE+ 0.89 sin comisiones ni otros gastos.</w:t>
            </w:r>
          </w:p>
        </w:tc>
        <w:tc>
          <w:tcPr>
            <w:tcW w:w="1984" w:type="dxa"/>
            <w:vAlign w:val="center"/>
          </w:tcPr>
          <w:p w14:paraId="3AB8CC85" w14:textId="77777777" w:rsidR="00267429" w:rsidRPr="00CA34F5" w:rsidRDefault="00267429" w:rsidP="00263064">
            <w:pPr>
              <w:jc w:val="right"/>
              <w:rPr>
                <w:rFonts w:ascii="Arial" w:hAnsi="Arial" w:cs="Arial"/>
              </w:rPr>
            </w:pPr>
            <w:r w:rsidRPr="00CA34F5">
              <w:rPr>
                <w:rFonts w:ascii="Arial" w:hAnsi="Arial" w:cs="Arial"/>
              </w:rPr>
              <w:t>205,000,000</w:t>
            </w:r>
          </w:p>
        </w:tc>
        <w:tc>
          <w:tcPr>
            <w:tcW w:w="1134" w:type="dxa"/>
            <w:vAlign w:val="center"/>
          </w:tcPr>
          <w:p w14:paraId="5E8ACAAE" w14:textId="60910ABC" w:rsidR="00267429" w:rsidRPr="00CA34F5" w:rsidRDefault="00267429" w:rsidP="00263064">
            <w:pPr>
              <w:jc w:val="both"/>
              <w:rPr>
                <w:rFonts w:ascii="Arial" w:hAnsi="Arial" w:cs="Arial"/>
              </w:rPr>
            </w:pPr>
            <w:r w:rsidRPr="00CA34F5">
              <w:rPr>
                <w:rFonts w:ascii="Arial" w:hAnsi="Arial" w:cs="Arial"/>
              </w:rPr>
              <w:t xml:space="preserve">   5.16</w:t>
            </w:r>
          </w:p>
        </w:tc>
      </w:tr>
      <w:tr w:rsidR="00267429" w:rsidRPr="00CA34F5" w14:paraId="76DDB1D8" w14:textId="77777777" w:rsidTr="00267429">
        <w:trPr>
          <w:trHeight w:val="164"/>
        </w:trPr>
        <w:tc>
          <w:tcPr>
            <w:tcW w:w="8926" w:type="dxa"/>
          </w:tcPr>
          <w:p w14:paraId="27A69575" w14:textId="77777777" w:rsidR="00267429" w:rsidRPr="00CA34F5" w:rsidRDefault="00267429" w:rsidP="00263064">
            <w:pPr>
              <w:jc w:val="both"/>
              <w:rPr>
                <w:rFonts w:ascii="Arial" w:hAnsi="Arial" w:cs="Arial"/>
                <w:vertAlign w:val="superscript"/>
              </w:rPr>
            </w:pPr>
            <w:r w:rsidRPr="00CA34F5">
              <w:rPr>
                <w:rFonts w:ascii="Arial" w:hAnsi="Arial" w:cs="Arial"/>
                <w:color w:val="000000"/>
                <w:vertAlign w:val="superscript"/>
              </w:rPr>
              <w:t>2.-</w:t>
            </w:r>
            <w:r w:rsidRPr="00CA34F5">
              <w:rPr>
                <w:rFonts w:ascii="Arial" w:hAnsi="Arial" w:cs="Arial"/>
                <w:color w:val="000000"/>
              </w:rPr>
              <w:t>SCOTIABANK INVERLAT contrato de crédito simple y quirografario con plazo de 10 meses y tasa de interés TIIE+ 0.21 sin comisiones ni otros gastos</w:t>
            </w:r>
          </w:p>
        </w:tc>
        <w:tc>
          <w:tcPr>
            <w:tcW w:w="1984" w:type="dxa"/>
            <w:vAlign w:val="center"/>
          </w:tcPr>
          <w:p w14:paraId="3CC06B71" w14:textId="77777777" w:rsidR="00267429" w:rsidRPr="00CA34F5" w:rsidRDefault="00267429" w:rsidP="00263064">
            <w:pPr>
              <w:jc w:val="right"/>
              <w:rPr>
                <w:rFonts w:ascii="Arial" w:hAnsi="Arial" w:cs="Arial"/>
              </w:rPr>
            </w:pPr>
            <w:r w:rsidRPr="00CA34F5">
              <w:rPr>
                <w:rFonts w:ascii="Arial" w:hAnsi="Arial" w:cs="Arial"/>
              </w:rPr>
              <w:t>250,000,000</w:t>
            </w:r>
          </w:p>
        </w:tc>
        <w:tc>
          <w:tcPr>
            <w:tcW w:w="1134" w:type="dxa"/>
            <w:vAlign w:val="center"/>
          </w:tcPr>
          <w:p w14:paraId="3CE6A1E5" w14:textId="6C0ED929" w:rsidR="00267429" w:rsidRPr="00CA34F5" w:rsidRDefault="00267429" w:rsidP="00263064">
            <w:pPr>
              <w:jc w:val="both"/>
              <w:rPr>
                <w:rFonts w:ascii="Arial" w:hAnsi="Arial" w:cs="Arial"/>
              </w:rPr>
            </w:pPr>
            <w:r w:rsidRPr="00CA34F5">
              <w:rPr>
                <w:rFonts w:ascii="Arial" w:hAnsi="Arial" w:cs="Arial"/>
              </w:rPr>
              <w:t xml:space="preserve">   6.29</w:t>
            </w:r>
          </w:p>
        </w:tc>
      </w:tr>
      <w:tr w:rsidR="00267429" w:rsidRPr="00CA34F5" w14:paraId="717A5475" w14:textId="77777777" w:rsidTr="00267429">
        <w:trPr>
          <w:trHeight w:val="164"/>
        </w:trPr>
        <w:tc>
          <w:tcPr>
            <w:tcW w:w="8926" w:type="dxa"/>
          </w:tcPr>
          <w:p w14:paraId="31FC9BA3" w14:textId="77777777" w:rsidR="00267429" w:rsidRPr="00CA34F5" w:rsidRDefault="00267429" w:rsidP="00263064">
            <w:pPr>
              <w:jc w:val="both"/>
              <w:rPr>
                <w:rFonts w:ascii="Arial" w:hAnsi="Arial" w:cs="Arial"/>
                <w:vertAlign w:val="superscript"/>
              </w:rPr>
            </w:pPr>
            <w:r w:rsidRPr="00CA34F5">
              <w:rPr>
                <w:rFonts w:ascii="Arial" w:hAnsi="Arial" w:cs="Arial"/>
                <w:vertAlign w:val="superscript"/>
              </w:rPr>
              <w:t>2.-</w:t>
            </w:r>
            <w:r w:rsidRPr="00CA34F5">
              <w:rPr>
                <w:rFonts w:ascii="Arial" w:hAnsi="Arial" w:cs="Arial"/>
              </w:rPr>
              <w:t xml:space="preserve">BBVA MÉXICO contrato de crédito simple y quirografario con plazo de 10 </w:t>
            </w:r>
            <w:r w:rsidRPr="00CA34F5">
              <w:rPr>
                <w:rFonts w:ascii="Arial" w:hAnsi="Arial" w:cs="Arial"/>
                <w:color w:val="000000"/>
              </w:rPr>
              <w:t>meses</w:t>
            </w:r>
            <w:r w:rsidRPr="00CA34F5">
              <w:rPr>
                <w:rFonts w:ascii="Arial" w:hAnsi="Arial" w:cs="Arial"/>
              </w:rPr>
              <w:t xml:space="preserve"> y tasa de interés TIIE+ 0.58 sin comisiones ni otros gastos.</w:t>
            </w:r>
          </w:p>
        </w:tc>
        <w:tc>
          <w:tcPr>
            <w:tcW w:w="1984" w:type="dxa"/>
            <w:vAlign w:val="center"/>
          </w:tcPr>
          <w:p w14:paraId="42EB92E8" w14:textId="77777777" w:rsidR="00267429" w:rsidRPr="00CA34F5" w:rsidRDefault="00267429" w:rsidP="00263064">
            <w:pPr>
              <w:jc w:val="right"/>
              <w:rPr>
                <w:rFonts w:ascii="Arial" w:hAnsi="Arial" w:cs="Arial"/>
              </w:rPr>
            </w:pPr>
            <w:r w:rsidRPr="00CA34F5">
              <w:rPr>
                <w:rFonts w:ascii="Arial" w:hAnsi="Arial" w:cs="Arial"/>
              </w:rPr>
              <w:t>180,000,000</w:t>
            </w:r>
          </w:p>
        </w:tc>
        <w:tc>
          <w:tcPr>
            <w:tcW w:w="1134" w:type="dxa"/>
            <w:vAlign w:val="center"/>
          </w:tcPr>
          <w:p w14:paraId="626FAE30" w14:textId="7B43FB24" w:rsidR="00267429" w:rsidRPr="00CA34F5" w:rsidRDefault="00267429" w:rsidP="00263064">
            <w:pPr>
              <w:jc w:val="both"/>
              <w:rPr>
                <w:rFonts w:ascii="Arial" w:hAnsi="Arial" w:cs="Arial"/>
              </w:rPr>
            </w:pPr>
            <w:r w:rsidRPr="00CA34F5">
              <w:rPr>
                <w:rFonts w:ascii="Arial" w:hAnsi="Arial" w:cs="Arial"/>
              </w:rPr>
              <w:t xml:space="preserve">   4.53</w:t>
            </w:r>
          </w:p>
        </w:tc>
      </w:tr>
      <w:tr w:rsidR="00267429" w:rsidRPr="00CA34F5" w14:paraId="672E3CC7" w14:textId="77777777" w:rsidTr="00267429">
        <w:trPr>
          <w:trHeight w:val="164"/>
        </w:trPr>
        <w:tc>
          <w:tcPr>
            <w:tcW w:w="8926" w:type="dxa"/>
          </w:tcPr>
          <w:p w14:paraId="7D06F15B" w14:textId="77777777" w:rsidR="00267429" w:rsidRPr="00CA34F5" w:rsidRDefault="00267429" w:rsidP="00263064">
            <w:pPr>
              <w:jc w:val="both"/>
              <w:rPr>
                <w:rFonts w:ascii="Arial" w:hAnsi="Arial" w:cs="Arial"/>
                <w:vertAlign w:val="superscript"/>
              </w:rPr>
            </w:pPr>
            <w:r w:rsidRPr="00CA34F5">
              <w:rPr>
                <w:rFonts w:ascii="Arial" w:hAnsi="Arial" w:cs="Arial"/>
                <w:vertAlign w:val="superscript"/>
              </w:rPr>
              <w:t>2.-</w:t>
            </w:r>
            <w:r w:rsidRPr="00CA34F5">
              <w:rPr>
                <w:rFonts w:ascii="Arial" w:hAnsi="Arial" w:cs="Arial"/>
              </w:rPr>
              <w:t xml:space="preserve">SANTANDER contrato de crédito simple y quirografario con plazo de 10 </w:t>
            </w:r>
            <w:r w:rsidRPr="00CA34F5">
              <w:rPr>
                <w:rFonts w:ascii="Arial" w:hAnsi="Arial" w:cs="Arial"/>
                <w:color w:val="000000"/>
              </w:rPr>
              <w:t>meses</w:t>
            </w:r>
            <w:r w:rsidRPr="00CA34F5">
              <w:rPr>
                <w:rFonts w:ascii="Arial" w:hAnsi="Arial" w:cs="Arial"/>
              </w:rPr>
              <w:t xml:space="preserve"> y tasa de interés TIIE+ 0.64 sin comisiones ni otros gastos.</w:t>
            </w:r>
          </w:p>
        </w:tc>
        <w:tc>
          <w:tcPr>
            <w:tcW w:w="1984" w:type="dxa"/>
            <w:vAlign w:val="center"/>
          </w:tcPr>
          <w:p w14:paraId="0E661CC8" w14:textId="77777777" w:rsidR="00267429" w:rsidRPr="00CA34F5" w:rsidRDefault="00267429" w:rsidP="00263064">
            <w:pPr>
              <w:jc w:val="right"/>
              <w:rPr>
                <w:rFonts w:ascii="Arial" w:hAnsi="Arial" w:cs="Arial"/>
              </w:rPr>
            </w:pPr>
            <w:r w:rsidRPr="00CA34F5">
              <w:rPr>
                <w:rFonts w:ascii="Arial" w:hAnsi="Arial" w:cs="Arial"/>
              </w:rPr>
              <w:t>200,000,000</w:t>
            </w:r>
          </w:p>
        </w:tc>
        <w:tc>
          <w:tcPr>
            <w:tcW w:w="1134" w:type="dxa"/>
            <w:vAlign w:val="center"/>
          </w:tcPr>
          <w:p w14:paraId="7E6AEDB5" w14:textId="65CD2A02" w:rsidR="00267429" w:rsidRPr="00CA34F5" w:rsidRDefault="00267429" w:rsidP="00263064">
            <w:pPr>
              <w:jc w:val="both"/>
              <w:rPr>
                <w:rFonts w:ascii="Arial" w:hAnsi="Arial" w:cs="Arial"/>
              </w:rPr>
            </w:pPr>
            <w:r w:rsidRPr="00CA34F5">
              <w:rPr>
                <w:rFonts w:ascii="Arial" w:hAnsi="Arial" w:cs="Arial"/>
              </w:rPr>
              <w:t xml:space="preserve">   5.03</w:t>
            </w:r>
          </w:p>
        </w:tc>
      </w:tr>
      <w:tr w:rsidR="00267429" w:rsidRPr="00CA34F5" w14:paraId="5FC4A9AE" w14:textId="77777777" w:rsidTr="00267429">
        <w:trPr>
          <w:trHeight w:val="164"/>
        </w:trPr>
        <w:tc>
          <w:tcPr>
            <w:tcW w:w="8926" w:type="dxa"/>
          </w:tcPr>
          <w:p w14:paraId="73DE7A3A" w14:textId="77777777" w:rsidR="00267429" w:rsidRPr="00CA34F5" w:rsidRDefault="00267429" w:rsidP="00263064">
            <w:pPr>
              <w:jc w:val="both"/>
              <w:rPr>
                <w:rFonts w:ascii="Arial" w:hAnsi="Arial" w:cs="Arial"/>
                <w:b/>
              </w:rPr>
            </w:pPr>
            <w:r w:rsidRPr="00CA34F5">
              <w:rPr>
                <w:rFonts w:ascii="Arial" w:hAnsi="Arial" w:cs="Arial"/>
                <w:vertAlign w:val="superscript"/>
              </w:rPr>
              <w:t>3.-</w:t>
            </w:r>
            <w:r w:rsidRPr="00CA34F5">
              <w:rPr>
                <w:rFonts w:ascii="Arial" w:hAnsi="Arial" w:cs="Arial"/>
              </w:rPr>
              <w:t>Otras cuentas por pagar</w:t>
            </w:r>
          </w:p>
        </w:tc>
        <w:tc>
          <w:tcPr>
            <w:tcW w:w="1984" w:type="dxa"/>
            <w:vAlign w:val="center"/>
          </w:tcPr>
          <w:p w14:paraId="3903FE67" w14:textId="0F50EAB4" w:rsidR="00267429" w:rsidRPr="00CA34F5" w:rsidRDefault="00267429" w:rsidP="00263064">
            <w:pPr>
              <w:jc w:val="right"/>
              <w:rPr>
                <w:rFonts w:ascii="Arial" w:hAnsi="Arial" w:cs="Arial"/>
              </w:rPr>
            </w:pPr>
            <w:r w:rsidRPr="00CA34F5">
              <w:rPr>
                <w:rFonts w:ascii="Arial" w:hAnsi="Arial" w:cs="Arial"/>
              </w:rPr>
              <w:t>20,139,382</w:t>
            </w:r>
          </w:p>
        </w:tc>
        <w:tc>
          <w:tcPr>
            <w:tcW w:w="1134" w:type="dxa"/>
            <w:vAlign w:val="center"/>
          </w:tcPr>
          <w:p w14:paraId="69438EA8" w14:textId="77777777" w:rsidR="00267429" w:rsidRPr="00CA34F5" w:rsidRDefault="00267429" w:rsidP="00263064">
            <w:pPr>
              <w:jc w:val="both"/>
              <w:rPr>
                <w:rFonts w:ascii="Arial" w:hAnsi="Arial" w:cs="Arial"/>
              </w:rPr>
            </w:pPr>
            <w:r w:rsidRPr="00CA34F5">
              <w:rPr>
                <w:rFonts w:ascii="Arial" w:hAnsi="Arial" w:cs="Arial"/>
              </w:rPr>
              <w:t xml:space="preserve">   0.51</w:t>
            </w:r>
          </w:p>
        </w:tc>
      </w:tr>
      <w:tr w:rsidR="00267429" w:rsidRPr="00CA34F5" w14:paraId="4BC5F5DB" w14:textId="77777777" w:rsidTr="00267429">
        <w:trPr>
          <w:trHeight w:val="337"/>
        </w:trPr>
        <w:tc>
          <w:tcPr>
            <w:tcW w:w="8926" w:type="dxa"/>
          </w:tcPr>
          <w:p w14:paraId="16AE7292" w14:textId="77777777" w:rsidR="00267429" w:rsidRPr="00CA34F5" w:rsidRDefault="00267429" w:rsidP="00263064">
            <w:pPr>
              <w:jc w:val="right"/>
              <w:rPr>
                <w:rFonts w:ascii="Arial" w:hAnsi="Arial" w:cs="Arial"/>
                <w:b/>
              </w:rPr>
            </w:pPr>
            <w:r w:rsidRPr="00CA34F5">
              <w:rPr>
                <w:rFonts w:ascii="Arial" w:hAnsi="Arial" w:cs="Arial"/>
                <w:b/>
              </w:rPr>
              <w:t>Total</w:t>
            </w:r>
          </w:p>
        </w:tc>
        <w:tc>
          <w:tcPr>
            <w:tcW w:w="1984" w:type="dxa"/>
          </w:tcPr>
          <w:p w14:paraId="3D6E1644" w14:textId="72BEBC4E" w:rsidR="00267429" w:rsidRPr="00CA34F5" w:rsidRDefault="00267429" w:rsidP="00263064">
            <w:pPr>
              <w:jc w:val="right"/>
              <w:rPr>
                <w:rFonts w:ascii="Arial" w:hAnsi="Arial" w:cs="Arial"/>
                <w:b/>
              </w:rPr>
            </w:pPr>
            <w:r w:rsidRPr="00CA34F5">
              <w:rPr>
                <w:rFonts w:ascii="Arial" w:eastAsia="Times New Roman" w:hAnsi="Arial" w:cs="Arial"/>
                <w:b/>
                <w:color w:val="000000"/>
                <w:lang w:eastAsia="es-MX"/>
              </w:rPr>
              <w:t>3,976,299,668</w:t>
            </w:r>
          </w:p>
        </w:tc>
        <w:tc>
          <w:tcPr>
            <w:tcW w:w="1134" w:type="dxa"/>
          </w:tcPr>
          <w:p w14:paraId="435916A1" w14:textId="4A779992" w:rsidR="00267429" w:rsidRPr="00CA34F5" w:rsidRDefault="00267429" w:rsidP="00263064">
            <w:pPr>
              <w:rPr>
                <w:rFonts w:ascii="Arial" w:hAnsi="Arial" w:cs="Arial"/>
                <w:b/>
              </w:rPr>
            </w:pPr>
            <w:r w:rsidRPr="00CA34F5">
              <w:rPr>
                <w:rFonts w:ascii="Arial" w:hAnsi="Arial" w:cs="Arial"/>
                <w:b/>
              </w:rPr>
              <w:t>100</w:t>
            </w:r>
          </w:p>
        </w:tc>
      </w:tr>
    </w:tbl>
    <w:p w14:paraId="6A4026A5" w14:textId="77777777" w:rsidR="00015407" w:rsidRPr="00CA34F5" w:rsidRDefault="00015407" w:rsidP="000A4C31">
      <w:pPr>
        <w:spacing w:line="240" w:lineRule="auto"/>
        <w:jc w:val="both"/>
        <w:rPr>
          <w:rFonts w:ascii="Arial" w:eastAsia="Times New Roman" w:hAnsi="Arial" w:cs="Arial"/>
          <w:b/>
          <w:color w:val="000000"/>
          <w:lang w:eastAsia="es-MX"/>
        </w:rPr>
      </w:pPr>
    </w:p>
    <w:p w14:paraId="3D99F484" w14:textId="440B4CED" w:rsidR="00FF33F4" w:rsidRPr="00CA34F5" w:rsidRDefault="00FF33F4" w:rsidP="00E64210">
      <w:pPr>
        <w:spacing w:after="0" w:line="240" w:lineRule="auto"/>
        <w:jc w:val="both"/>
        <w:rPr>
          <w:rFonts w:ascii="Arial" w:eastAsia="Times New Roman" w:hAnsi="Arial" w:cs="Arial"/>
          <w:b/>
          <w:color w:val="000000"/>
          <w:lang w:eastAsia="es-MX"/>
        </w:rPr>
      </w:pPr>
      <w:r w:rsidRPr="00CA34F5">
        <w:rPr>
          <w:rFonts w:ascii="Arial" w:eastAsia="Times New Roman" w:hAnsi="Arial" w:cs="Arial"/>
          <w:b/>
          <w:color w:val="000000"/>
          <w:lang w:eastAsia="es-MX"/>
        </w:rPr>
        <w:lastRenderedPageBreak/>
        <w:t xml:space="preserve">Otras Cuentas por Pagar a Corto Plazo se </w:t>
      </w:r>
      <w:r w:rsidR="00030FF7" w:rsidRPr="00CA34F5">
        <w:rPr>
          <w:rFonts w:ascii="Arial" w:eastAsia="Times New Roman" w:hAnsi="Arial" w:cs="Arial"/>
          <w:b/>
          <w:color w:val="000000"/>
          <w:lang w:eastAsia="es-MX"/>
        </w:rPr>
        <w:t>integran</w:t>
      </w:r>
      <w:r w:rsidRPr="00CA34F5">
        <w:rPr>
          <w:rFonts w:ascii="Arial" w:eastAsia="Times New Roman" w:hAnsi="Arial" w:cs="Arial"/>
          <w:b/>
          <w:color w:val="000000"/>
          <w:lang w:eastAsia="es-MX"/>
        </w:rPr>
        <w:t xml:space="preserve"> de la siguiente manera</w:t>
      </w:r>
      <w:r w:rsidR="00E64210" w:rsidRPr="00CA34F5">
        <w:rPr>
          <w:rFonts w:ascii="Arial" w:eastAsia="Times New Roman" w:hAnsi="Arial" w:cs="Arial"/>
          <w:b/>
          <w:color w:val="000000"/>
          <w:lang w:eastAsia="es-MX"/>
        </w:rPr>
        <w:t>:</w:t>
      </w:r>
    </w:p>
    <w:p w14:paraId="13B45ABD" w14:textId="77777777" w:rsidR="00E64210" w:rsidRPr="00CA34F5" w:rsidRDefault="00E64210" w:rsidP="00E64210">
      <w:pPr>
        <w:spacing w:after="0" w:line="240" w:lineRule="auto"/>
        <w:jc w:val="both"/>
        <w:rPr>
          <w:rFonts w:ascii="Arial" w:eastAsia="Times New Roman" w:hAnsi="Arial" w:cs="Arial"/>
          <w:b/>
          <w:color w:val="000000"/>
          <w:lang w:eastAsia="es-MX"/>
        </w:rPr>
      </w:pPr>
    </w:p>
    <w:p w14:paraId="3A4DB650" w14:textId="40452700" w:rsidR="00E64210" w:rsidRPr="00CA34F5" w:rsidRDefault="00E64210" w:rsidP="00E64210">
      <w:pPr>
        <w:spacing w:line="240" w:lineRule="auto"/>
        <w:jc w:val="both"/>
        <w:rPr>
          <w:rFonts w:ascii="Arial" w:eastAsia="Times New Roman" w:hAnsi="Arial" w:cs="Arial"/>
          <w:color w:val="000000"/>
          <w:lang w:eastAsia="es-MX"/>
        </w:rPr>
      </w:pPr>
      <w:r w:rsidRPr="00CA34F5">
        <w:rPr>
          <w:rFonts w:ascii="Arial" w:eastAsia="Times New Roman" w:hAnsi="Arial" w:cs="Arial"/>
          <w:b/>
          <w:color w:val="000000"/>
          <w:lang w:eastAsia="es-MX"/>
        </w:rPr>
        <w:t>1.- Anticipo Mensual de Participaciones $1</w:t>
      </w:r>
      <w:proofErr w:type="gramStart"/>
      <w:r w:rsidRPr="00CA34F5">
        <w:rPr>
          <w:rFonts w:ascii="Arial" w:eastAsia="Times New Roman" w:hAnsi="Arial" w:cs="Arial"/>
          <w:b/>
          <w:color w:val="000000"/>
          <w:lang w:eastAsia="es-MX"/>
        </w:rPr>
        <w:t>,105,660,286</w:t>
      </w:r>
      <w:proofErr w:type="gramEnd"/>
      <w:r w:rsidRPr="00CA34F5">
        <w:rPr>
          <w:rFonts w:ascii="Arial" w:eastAsia="Times New Roman" w:hAnsi="Arial" w:cs="Arial"/>
          <w:b/>
          <w:color w:val="000000"/>
          <w:lang w:eastAsia="es-MX"/>
        </w:rPr>
        <w:t xml:space="preserve"> </w:t>
      </w:r>
      <w:r w:rsidRPr="00CA34F5">
        <w:rPr>
          <w:rFonts w:ascii="Arial" w:eastAsia="Times New Roman" w:hAnsi="Arial" w:cs="Arial"/>
          <w:color w:val="000000"/>
          <w:lang w:eastAsia="es-MX"/>
        </w:rPr>
        <w:t>de diciembre 2021</w:t>
      </w:r>
      <w:r w:rsidR="00E4198F">
        <w:rPr>
          <w:rFonts w:ascii="Arial" w:eastAsia="Times New Roman" w:hAnsi="Arial" w:cs="Arial"/>
          <w:color w:val="000000"/>
          <w:lang w:eastAsia="es-MX"/>
        </w:rPr>
        <w:t xml:space="preserve"> a los municipios $ 1,105,381,100</w:t>
      </w:r>
      <w:r w:rsidR="00030FF7">
        <w:rPr>
          <w:rFonts w:ascii="Arial" w:eastAsia="Times New Roman" w:hAnsi="Arial" w:cs="Arial"/>
          <w:color w:val="000000"/>
          <w:lang w:eastAsia="es-MX"/>
        </w:rPr>
        <w:t xml:space="preserve"> y </w:t>
      </w:r>
      <w:r w:rsidRPr="00CA34F5">
        <w:rPr>
          <w:rFonts w:ascii="Arial" w:eastAsia="Times New Roman" w:hAnsi="Arial" w:cs="Arial"/>
          <w:color w:val="000000"/>
          <w:lang w:eastAsia="es-MX"/>
        </w:rPr>
        <w:t xml:space="preserve"> aportación de CAPUFE</w:t>
      </w:r>
      <w:r w:rsidR="00030FF7">
        <w:rPr>
          <w:rFonts w:ascii="Arial" w:eastAsia="Times New Roman" w:hAnsi="Arial" w:cs="Arial"/>
          <w:color w:val="000000"/>
          <w:lang w:eastAsia="es-MX"/>
        </w:rPr>
        <w:t xml:space="preserve"> </w:t>
      </w:r>
      <w:r w:rsidR="00E4198F">
        <w:rPr>
          <w:rFonts w:ascii="Arial" w:eastAsia="Times New Roman" w:hAnsi="Arial" w:cs="Arial"/>
          <w:color w:val="000000"/>
          <w:lang w:eastAsia="es-MX"/>
        </w:rPr>
        <w:t>$ 279,186</w:t>
      </w:r>
      <w:r w:rsidRPr="00CA34F5">
        <w:rPr>
          <w:rFonts w:ascii="Arial" w:eastAsia="Times New Roman" w:hAnsi="Arial" w:cs="Arial"/>
          <w:color w:val="000000"/>
          <w:lang w:eastAsia="es-MX"/>
        </w:rPr>
        <w:t xml:space="preserve">, los cuales serán comprobados en el mes de </w:t>
      </w:r>
      <w:r w:rsidR="00304719">
        <w:rPr>
          <w:rFonts w:ascii="Arial" w:eastAsia="Times New Roman" w:hAnsi="Arial" w:cs="Arial"/>
          <w:color w:val="000000"/>
          <w:lang w:eastAsia="es-MX"/>
        </w:rPr>
        <w:t xml:space="preserve">enero del ejercicio 2022 y </w:t>
      </w:r>
      <w:r w:rsidRPr="00CA34F5">
        <w:rPr>
          <w:rFonts w:ascii="Arial" w:eastAsia="Times New Roman" w:hAnsi="Arial" w:cs="Arial"/>
          <w:color w:val="000000"/>
          <w:lang w:eastAsia="es-MX"/>
        </w:rPr>
        <w:t>una desagregación de vencimiento de 90 días.</w:t>
      </w:r>
    </w:p>
    <w:p w14:paraId="26F2A898" w14:textId="77777777" w:rsidR="00E64210" w:rsidRPr="00CA34F5" w:rsidRDefault="00E64210" w:rsidP="00E64210">
      <w:pPr>
        <w:spacing w:after="0" w:line="240" w:lineRule="auto"/>
        <w:jc w:val="both"/>
        <w:rPr>
          <w:rFonts w:ascii="Arial" w:eastAsia="Times New Roman" w:hAnsi="Arial" w:cs="Arial"/>
          <w:color w:val="000000"/>
          <w:lang w:eastAsia="es-MX"/>
        </w:rPr>
      </w:pPr>
    </w:p>
    <w:p w14:paraId="7E7A1BA2" w14:textId="77777777" w:rsidR="00DF69BC" w:rsidRDefault="00DF69BC" w:rsidP="00DF69BC">
      <w:pPr>
        <w:spacing w:after="0" w:line="240" w:lineRule="auto"/>
        <w:jc w:val="both"/>
        <w:rPr>
          <w:rFonts w:ascii="Arial" w:hAnsi="Arial" w:cs="Arial"/>
          <w:bCs/>
          <w:lang w:eastAsia="es-MX"/>
        </w:rPr>
      </w:pPr>
      <w:r w:rsidRPr="00CA34F5">
        <w:rPr>
          <w:rFonts w:ascii="Arial" w:hAnsi="Arial" w:cs="Arial"/>
          <w:b/>
          <w:bCs/>
          <w:lang w:eastAsia="es-MX"/>
        </w:rPr>
        <w:t>2.- Otras Cuentas por Pagar a Corto Plazo $2</w:t>
      </w:r>
      <w:proofErr w:type="gramStart"/>
      <w:r w:rsidRPr="00CA34F5">
        <w:rPr>
          <w:rFonts w:ascii="Arial" w:hAnsi="Arial" w:cs="Arial"/>
          <w:b/>
          <w:bCs/>
          <w:lang w:eastAsia="es-MX"/>
        </w:rPr>
        <w:t>,850,500,000</w:t>
      </w:r>
      <w:proofErr w:type="gramEnd"/>
      <w:r w:rsidRPr="00CA34F5">
        <w:rPr>
          <w:rFonts w:ascii="Arial" w:hAnsi="Arial" w:cs="Arial"/>
          <w:bCs/>
          <w:lang w:eastAsia="es-MX"/>
        </w:rPr>
        <w:t xml:space="preserve">  </w:t>
      </w:r>
    </w:p>
    <w:p w14:paraId="7FF6E713" w14:textId="77777777" w:rsidR="00C9450E" w:rsidRPr="00CA34F5" w:rsidRDefault="00C9450E" w:rsidP="00DF69BC">
      <w:pPr>
        <w:spacing w:after="0" w:line="240" w:lineRule="auto"/>
        <w:jc w:val="both"/>
        <w:rPr>
          <w:rFonts w:ascii="Arial" w:hAnsi="Arial" w:cs="Arial"/>
          <w:bCs/>
          <w:lang w:eastAsia="es-MX"/>
        </w:rPr>
      </w:pPr>
    </w:p>
    <w:p w14:paraId="2D8304F9" w14:textId="79F3259D" w:rsidR="00DF69BC" w:rsidRPr="00CA34F5" w:rsidRDefault="00304719" w:rsidP="009F0FFD">
      <w:pPr>
        <w:pStyle w:val="Default"/>
        <w:ind w:right="-65"/>
        <w:jc w:val="both"/>
        <w:rPr>
          <w:sz w:val="22"/>
          <w:szCs w:val="22"/>
        </w:rPr>
      </w:pPr>
      <w:r>
        <w:rPr>
          <w:sz w:val="22"/>
          <w:szCs w:val="22"/>
        </w:rPr>
        <w:t xml:space="preserve">Corresponde </w:t>
      </w:r>
      <w:r w:rsidR="00C9450E">
        <w:rPr>
          <w:sz w:val="22"/>
          <w:szCs w:val="22"/>
        </w:rPr>
        <w:t xml:space="preserve">a </w:t>
      </w:r>
      <w:r w:rsidR="00DF69BC" w:rsidRPr="00CA34F5">
        <w:rPr>
          <w:sz w:val="22"/>
          <w:szCs w:val="22"/>
        </w:rPr>
        <w:t>15 Contratos de Crédito Simple Quirografario con los bancos Scotiabank Inverlat, Santand</w:t>
      </w:r>
      <w:r w:rsidR="009F0FFD" w:rsidRPr="00CA34F5">
        <w:rPr>
          <w:sz w:val="22"/>
          <w:szCs w:val="22"/>
        </w:rPr>
        <w:t xml:space="preserve">er, BBVA México, HSBC y Banorte. </w:t>
      </w:r>
    </w:p>
    <w:p w14:paraId="5CC7C4AA" w14:textId="5AB0D68C" w:rsidR="00DF69BC" w:rsidRPr="00CA34F5" w:rsidRDefault="00DF69BC" w:rsidP="00DF69BC">
      <w:pPr>
        <w:spacing w:after="0" w:line="240" w:lineRule="auto"/>
        <w:jc w:val="both"/>
        <w:rPr>
          <w:rFonts w:ascii="Arial" w:hAnsi="Arial" w:cs="Arial"/>
          <w:bCs/>
          <w:lang w:eastAsia="es-MX"/>
        </w:rPr>
      </w:pPr>
      <w:r w:rsidRPr="00CA34F5">
        <w:rPr>
          <w:rFonts w:ascii="Arial" w:hAnsi="Arial" w:cs="Arial"/>
          <w:bCs/>
          <w:lang w:eastAsia="es-MX"/>
        </w:rPr>
        <w:t xml:space="preserve">La desagregación por vencimiento de las obligaciones </w:t>
      </w:r>
      <w:r w:rsidR="00304719">
        <w:rPr>
          <w:rFonts w:ascii="Arial" w:hAnsi="Arial" w:cs="Arial"/>
          <w:bCs/>
          <w:lang w:eastAsia="es-MX"/>
        </w:rPr>
        <w:t xml:space="preserve">es </w:t>
      </w:r>
      <w:r w:rsidRPr="00CA34F5">
        <w:rPr>
          <w:rFonts w:ascii="Arial" w:hAnsi="Arial" w:cs="Arial"/>
          <w:bCs/>
          <w:lang w:eastAsia="es-MX"/>
        </w:rPr>
        <w:t>de 180 a 365 días y su factibilidad de pago es de 100%.</w:t>
      </w:r>
    </w:p>
    <w:p w14:paraId="6D7CE3C7" w14:textId="77777777" w:rsidR="001F121E" w:rsidRPr="00CA34F5" w:rsidRDefault="001F121E" w:rsidP="000A4C31">
      <w:pPr>
        <w:spacing w:line="240" w:lineRule="auto"/>
        <w:jc w:val="both"/>
        <w:rPr>
          <w:rFonts w:ascii="Arial" w:eastAsia="Times New Roman" w:hAnsi="Arial" w:cs="Arial"/>
          <w:color w:val="000000"/>
          <w:lang w:eastAsia="es-MX"/>
        </w:rPr>
      </w:pPr>
    </w:p>
    <w:p w14:paraId="5E02102C" w14:textId="17E7032D" w:rsidR="00FF33F4" w:rsidRPr="00CA34F5" w:rsidRDefault="001F121E" w:rsidP="000A4C31">
      <w:pPr>
        <w:spacing w:line="240" w:lineRule="auto"/>
        <w:jc w:val="both"/>
        <w:rPr>
          <w:rFonts w:ascii="Arial" w:hAnsi="Arial" w:cs="Arial"/>
        </w:rPr>
      </w:pPr>
      <w:r w:rsidRPr="00CA34F5">
        <w:rPr>
          <w:rFonts w:ascii="Arial" w:eastAsia="Times New Roman" w:hAnsi="Arial" w:cs="Arial"/>
          <w:b/>
          <w:color w:val="000000"/>
          <w:lang w:eastAsia="es-MX"/>
        </w:rPr>
        <w:t>3</w:t>
      </w:r>
      <w:r w:rsidR="00FF33F4" w:rsidRPr="00CA34F5">
        <w:rPr>
          <w:rFonts w:ascii="Arial" w:eastAsia="Times New Roman" w:hAnsi="Arial" w:cs="Arial"/>
          <w:b/>
          <w:color w:val="000000"/>
          <w:lang w:eastAsia="es-MX"/>
        </w:rPr>
        <w:t>.- Otras Cuentas por Pagar $</w:t>
      </w:r>
      <w:r w:rsidR="006C3F76" w:rsidRPr="00CA34F5">
        <w:rPr>
          <w:rFonts w:ascii="Arial" w:hAnsi="Arial" w:cs="Arial"/>
          <w:b/>
        </w:rPr>
        <w:t>20</w:t>
      </w:r>
      <w:proofErr w:type="gramStart"/>
      <w:r w:rsidR="006C3F76" w:rsidRPr="00CA34F5">
        <w:rPr>
          <w:rFonts w:ascii="Arial" w:hAnsi="Arial" w:cs="Arial"/>
          <w:b/>
        </w:rPr>
        <w:t>,139,382</w:t>
      </w:r>
      <w:proofErr w:type="gramEnd"/>
    </w:p>
    <w:p w14:paraId="103342CD" w14:textId="77777777" w:rsidR="00FF33F4" w:rsidRPr="00CA34F5" w:rsidRDefault="00FF33F4" w:rsidP="000A4C31">
      <w:pPr>
        <w:spacing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Este saldo se integra por:</w:t>
      </w:r>
    </w:p>
    <w:p w14:paraId="46AA256E" w14:textId="5A609FBB" w:rsidR="00E64210" w:rsidRPr="00CA34F5" w:rsidRDefault="00E64210" w:rsidP="00E64210">
      <w:pPr>
        <w:pStyle w:val="Prrafodelista"/>
        <w:numPr>
          <w:ilvl w:val="0"/>
          <w:numId w:val="17"/>
        </w:numPr>
        <w:spacing w:after="16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Bonificación Vales de Despensa $1</w:t>
      </w:r>
      <w:proofErr w:type="gramStart"/>
      <w:r w:rsidR="00B85E74" w:rsidRPr="00CA34F5">
        <w:rPr>
          <w:rFonts w:ascii="Arial" w:eastAsia="Times New Roman" w:hAnsi="Arial" w:cs="Arial"/>
          <w:color w:val="000000"/>
          <w:lang w:eastAsia="es-MX"/>
        </w:rPr>
        <w:t>,773,645</w:t>
      </w:r>
      <w:proofErr w:type="gramEnd"/>
      <w:r w:rsidR="00B85E74" w:rsidRPr="00CA34F5">
        <w:rPr>
          <w:rFonts w:ascii="Arial" w:eastAsia="Times New Roman" w:hAnsi="Arial" w:cs="Arial"/>
          <w:color w:val="000000"/>
          <w:lang w:eastAsia="es-MX"/>
        </w:rPr>
        <w:t>, este saldo es</w:t>
      </w:r>
      <w:r w:rsidRPr="00CA34F5">
        <w:rPr>
          <w:rFonts w:ascii="Arial" w:eastAsia="Times New Roman" w:hAnsi="Arial" w:cs="Arial"/>
          <w:color w:val="000000"/>
          <w:lang w:eastAsia="es-MX"/>
        </w:rPr>
        <w:t xml:space="preserve"> principalmente</w:t>
      </w:r>
      <w:r w:rsidR="009D2478" w:rsidRPr="00CA34F5">
        <w:rPr>
          <w:rFonts w:ascii="Arial" w:eastAsia="Times New Roman" w:hAnsi="Arial" w:cs="Arial"/>
          <w:color w:val="000000"/>
          <w:lang w:eastAsia="es-MX"/>
        </w:rPr>
        <w:t xml:space="preserve"> por</w:t>
      </w:r>
      <w:r w:rsidRPr="00CA34F5">
        <w:rPr>
          <w:rFonts w:ascii="Arial" w:eastAsia="Times New Roman" w:hAnsi="Arial" w:cs="Arial"/>
          <w:color w:val="000000"/>
          <w:lang w:eastAsia="es-MX"/>
        </w:rPr>
        <w:t xml:space="preserve"> bonificaciones de vales de despensa. La desagregación por vencimiento es de $24,720 a  90 días representa</w:t>
      </w:r>
      <w:r w:rsidR="00F70174" w:rsidRPr="00CA34F5">
        <w:rPr>
          <w:rFonts w:ascii="Arial" w:eastAsia="Times New Roman" w:hAnsi="Arial" w:cs="Arial"/>
          <w:color w:val="000000"/>
          <w:lang w:eastAsia="es-MX"/>
        </w:rPr>
        <w:t xml:space="preserve"> el 1.39%,  los cuales se pagará</w:t>
      </w:r>
      <w:r w:rsidRPr="00CA34F5">
        <w:rPr>
          <w:rFonts w:ascii="Arial" w:eastAsia="Times New Roman" w:hAnsi="Arial" w:cs="Arial"/>
          <w:color w:val="000000"/>
          <w:lang w:eastAsia="es-MX"/>
        </w:rPr>
        <w:t>n en el 1er. Trimestre del año 2022 y $1</w:t>
      </w:r>
      <w:proofErr w:type="gramStart"/>
      <w:r w:rsidRPr="00CA34F5">
        <w:rPr>
          <w:rFonts w:ascii="Arial" w:eastAsia="Times New Roman" w:hAnsi="Arial" w:cs="Arial"/>
          <w:color w:val="000000"/>
          <w:lang w:eastAsia="es-MX"/>
        </w:rPr>
        <w:t>,748,925</w:t>
      </w:r>
      <w:proofErr w:type="gramEnd"/>
      <w:r w:rsidRPr="00CA34F5">
        <w:rPr>
          <w:rFonts w:ascii="Arial" w:eastAsia="Times New Roman" w:hAnsi="Arial" w:cs="Arial"/>
          <w:color w:val="000000"/>
          <w:lang w:eastAsia="es-MX"/>
        </w:rPr>
        <w:t xml:space="preserve"> mayor a 365 días y rep</w:t>
      </w:r>
      <w:r w:rsidR="00FA76DA">
        <w:rPr>
          <w:rFonts w:ascii="Arial" w:eastAsia="Times New Roman" w:hAnsi="Arial" w:cs="Arial"/>
          <w:color w:val="000000"/>
          <w:lang w:eastAsia="es-MX"/>
        </w:rPr>
        <w:t>resenta el 98.61%, en proceso de depuración y corresponde a</w:t>
      </w:r>
      <w:r w:rsidR="003306E2">
        <w:rPr>
          <w:rFonts w:ascii="Arial" w:eastAsia="Times New Roman" w:hAnsi="Arial" w:cs="Arial"/>
          <w:color w:val="000000"/>
          <w:lang w:eastAsia="es-MX"/>
        </w:rPr>
        <w:t xml:space="preserve"> ejercicios anteriores (2019 y 2020).</w:t>
      </w:r>
    </w:p>
    <w:p w14:paraId="086AC29C" w14:textId="77777777" w:rsidR="00E64210" w:rsidRPr="00CA34F5" w:rsidRDefault="00E64210" w:rsidP="00E64210">
      <w:pPr>
        <w:pStyle w:val="Prrafodelista"/>
        <w:spacing w:line="240" w:lineRule="auto"/>
        <w:jc w:val="both"/>
        <w:rPr>
          <w:rFonts w:ascii="Arial" w:eastAsia="Times New Roman" w:hAnsi="Arial" w:cs="Arial"/>
          <w:color w:val="000000"/>
          <w:lang w:eastAsia="es-MX"/>
        </w:rPr>
      </w:pPr>
    </w:p>
    <w:p w14:paraId="02B87F64" w14:textId="75BC5ED7" w:rsidR="00E64210" w:rsidRPr="00CA34F5" w:rsidRDefault="00E64210" w:rsidP="00E64210">
      <w:pPr>
        <w:pStyle w:val="Prrafodelista"/>
        <w:numPr>
          <w:ilvl w:val="0"/>
          <w:numId w:val="17"/>
        </w:numPr>
        <w:spacing w:after="16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Bonificación Prestadores de Servicios $1</w:t>
      </w:r>
      <w:proofErr w:type="gramStart"/>
      <w:r w:rsidRPr="00CA34F5">
        <w:rPr>
          <w:rFonts w:ascii="Arial" w:eastAsia="Times New Roman" w:hAnsi="Arial" w:cs="Arial"/>
          <w:color w:val="000000"/>
          <w:lang w:eastAsia="es-MX"/>
        </w:rPr>
        <w:t>,948,</w:t>
      </w:r>
      <w:r w:rsidR="006254DA" w:rsidRPr="00CA34F5">
        <w:rPr>
          <w:rFonts w:ascii="Arial" w:eastAsia="Times New Roman" w:hAnsi="Arial" w:cs="Arial"/>
          <w:color w:val="000000"/>
          <w:lang w:eastAsia="es-MX"/>
        </w:rPr>
        <w:t>476</w:t>
      </w:r>
      <w:proofErr w:type="gramEnd"/>
      <w:r w:rsidR="005868F3">
        <w:rPr>
          <w:rFonts w:ascii="Arial" w:eastAsia="Times New Roman" w:hAnsi="Arial" w:cs="Arial"/>
          <w:color w:val="000000"/>
          <w:lang w:eastAsia="es-MX"/>
        </w:rPr>
        <w:t>, l</w:t>
      </w:r>
      <w:r w:rsidRPr="00CA34F5">
        <w:rPr>
          <w:rFonts w:ascii="Arial" w:eastAsia="Times New Roman" w:hAnsi="Arial" w:cs="Arial"/>
          <w:color w:val="000000"/>
          <w:lang w:eastAsia="es-MX"/>
        </w:rPr>
        <w:t>a desagregación por vencimiento es mayor a 365 días r</w:t>
      </w:r>
      <w:r w:rsidR="00C83CAA">
        <w:rPr>
          <w:rFonts w:ascii="Arial" w:eastAsia="Times New Roman" w:hAnsi="Arial" w:cs="Arial"/>
          <w:color w:val="000000"/>
          <w:lang w:eastAsia="es-MX"/>
        </w:rPr>
        <w:t xml:space="preserve">epresenta el 100%, </w:t>
      </w:r>
      <w:r w:rsidR="007074E7">
        <w:rPr>
          <w:rFonts w:ascii="Arial" w:eastAsia="Times New Roman" w:hAnsi="Arial" w:cs="Arial"/>
          <w:color w:val="000000"/>
          <w:lang w:eastAsia="es-MX"/>
        </w:rPr>
        <w:t>en proceso de depuración</w:t>
      </w:r>
      <w:r w:rsidRPr="00CA34F5">
        <w:rPr>
          <w:rFonts w:ascii="Arial" w:eastAsia="Times New Roman" w:hAnsi="Arial" w:cs="Arial"/>
          <w:color w:val="000000"/>
          <w:lang w:eastAsia="es-MX"/>
        </w:rPr>
        <w:t xml:space="preserve"> </w:t>
      </w:r>
      <w:r w:rsidR="005868F3">
        <w:rPr>
          <w:rFonts w:ascii="Arial" w:eastAsia="Times New Roman" w:hAnsi="Arial" w:cs="Arial"/>
          <w:color w:val="000000"/>
          <w:lang w:eastAsia="es-MX"/>
        </w:rPr>
        <w:t xml:space="preserve">y corresponde a </w:t>
      </w:r>
      <w:r w:rsidR="003306E2">
        <w:rPr>
          <w:rFonts w:ascii="Arial" w:eastAsia="Times New Roman" w:hAnsi="Arial" w:cs="Arial"/>
          <w:color w:val="000000"/>
          <w:lang w:eastAsia="es-MX"/>
        </w:rPr>
        <w:t xml:space="preserve"> ejercicios anteriores (2019 y 2020).</w:t>
      </w:r>
    </w:p>
    <w:p w14:paraId="7AFBD2F3" w14:textId="77777777" w:rsidR="00E64210" w:rsidRPr="00CA34F5" w:rsidRDefault="00E64210" w:rsidP="00E64210">
      <w:pPr>
        <w:pStyle w:val="Prrafodelista"/>
        <w:spacing w:line="240" w:lineRule="auto"/>
        <w:jc w:val="both"/>
        <w:rPr>
          <w:rFonts w:ascii="Arial" w:eastAsia="Times New Roman" w:hAnsi="Arial" w:cs="Arial"/>
          <w:color w:val="000000"/>
          <w:lang w:eastAsia="es-MX"/>
        </w:rPr>
      </w:pPr>
    </w:p>
    <w:p w14:paraId="29D8BA41" w14:textId="40FA9155" w:rsidR="00E64210" w:rsidRPr="00CA34F5" w:rsidRDefault="00E64210" w:rsidP="00E64210">
      <w:pPr>
        <w:pStyle w:val="Prrafodelista"/>
        <w:numPr>
          <w:ilvl w:val="0"/>
          <w:numId w:val="17"/>
        </w:numPr>
        <w:spacing w:after="160" w:line="259" w:lineRule="auto"/>
        <w:jc w:val="both"/>
        <w:rPr>
          <w:rFonts w:ascii="Arial" w:hAnsi="Arial" w:cs="Arial"/>
        </w:rPr>
      </w:pPr>
      <w:r w:rsidRPr="00CA34F5">
        <w:rPr>
          <w:rFonts w:ascii="Arial" w:hAnsi="Arial" w:cs="Arial"/>
        </w:rPr>
        <w:t>Reintegros de recursos no ejercidos de programas federales que se encuentran pendientes de pago a la TESOFE por $13,017,029</w:t>
      </w:r>
      <w:r w:rsidR="00154D08">
        <w:rPr>
          <w:rFonts w:ascii="Arial" w:hAnsi="Arial" w:cs="Arial"/>
        </w:rPr>
        <w:t>, que serán pagados en el 1er.</w:t>
      </w:r>
      <w:r w:rsidRPr="00CA34F5">
        <w:rPr>
          <w:rFonts w:ascii="Arial" w:hAnsi="Arial" w:cs="Arial"/>
        </w:rPr>
        <w:t xml:space="preserve"> trimestre del ejercicio</w:t>
      </w:r>
      <w:r w:rsidR="00154D08">
        <w:rPr>
          <w:rFonts w:ascii="Arial" w:hAnsi="Arial" w:cs="Arial"/>
        </w:rPr>
        <w:t xml:space="preserve"> 2022, </w:t>
      </w:r>
      <w:r w:rsidRPr="00CA34F5">
        <w:rPr>
          <w:rFonts w:ascii="Arial" w:hAnsi="Arial" w:cs="Arial"/>
        </w:rPr>
        <w:t xml:space="preserve"> en cumplimiento a la Ley de Disciplina Financiera.</w:t>
      </w:r>
    </w:p>
    <w:p w14:paraId="7A6E1179" w14:textId="77777777" w:rsidR="00E64210" w:rsidRPr="00CA34F5" w:rsidRDefault="00E64210" w:rsidP="00E64210">
      <w:pPr>
        <w:pStyle w:val="Prrafodelista"/>
        <w:jc w:val="both"/>
        <w:rPr>
          <w:rFonts w:ascii="Arial" w:hAnsi="Arial" w:cs="Arial"/>
        </w:rPr>
      </w:pPr>
    </w:p>
    <w:p w14:paraId="6BA14232" w14:textId="602C9D01" w:rsidR="00E64210" w:rsidRPr="00CA34F5" w:rsidRDefault="00E64210" w:rsidP="00E64210">
      <w:pPr>
        <w:pStyle w:val="Prrafodelista"/>
        <w:numPr>
          <w:ilvl w:val="0"/>
          <w:numId w:val="17"/>
        </w:numPr>
        <w:spacing w:after="160" w:line="259" w:lineRule="auto"/>
        <w:jc w:val="both"/>
        <w:rPr>
          <w:rFonts w:ascii="Arial" w:hAnsi="Arial" w:cs="Arial"/>
        </w:rPr>
      </w:pPr>
      <w:r w:rsidRPr="00CA34F5">
        <w:rPr>
          <w:rFonts w:ascii="Arial" w:hAnsi="Arial" w:cs="Arial"/>
        </w:rPr>
        <w:t>Reintegros por concepto de retenciones de pensión alimenticia y procesos jurídicos por un importe de $3</w:t>
      </w:r>
      <w:proofErr w:type="gramStart"/>
      <w:r w:rsidRPr="00CA34F5">
        <w:rPr>
          <w:rFonts w:ascii="Arial" w:hAnsi="Arial" w:cs="Arial"/>
        </w:rPr>
        <w:t>,400,232</w:t>
      </w:r>
      <w:proofErr w:type="gramEnd"/>
      <w:r w:rsidRPr="00CA34F5">
        <w:rPr>
          <w:rFonts w:ascii="Arial" w:hAnsi="Arial" w:cs="Arial"/>
        </w:rPr>
        <w:t xml:space="preserve"> depositados para su resguardo en esta Secretaría de Finanzas hasta que la autoridad competente los solicite para su pago.</w:t>
      </w:r>
    </w:p>
    <w:p w14:paraId="2A902AC6" w14:textId="77777777" w:rsidR="008E74B7" w:rsidRDefault="008E74B7" w:rsidP="000A4C31">
      <w:pPr>
        <w:spacing w:before="240" w:line="240" w:lineRule="auto"/>
        <w:jc w:val="both"/>
        <w:rPr>
          <w:rFonts w:ascii="Arial" w:hAnsi="Arial" w:cs="Arial"/>
          <w:b/>
          <w:bCs/>
          <w:u w:val="single"/>
          <w:lang w:eastAsia="es-MX"/>
        </w:rPr>
      </w:pPr>
    </w:p>
    <w:p w14:paraId="0E483DE8" w14:textId="167D98D8" w:rsidR="009818AD" w:rsidRPr="00CA34F5" w:rsidRDefault="006E35C1" w:rsidP="000A4C31">
      <w:pPr>
        <w:spacing w:before="240" w:line="240" w:lineRule="auto"/>
        <w:jc w:val="both"/>
        <w:rPr>
          <w:rFonts w:ascii="Arial" w:hAnsi="Arial" w:cs="Arial"/>
          <w:b/>
          <w:bCs/>
          <w:u w:val="single"/>
          <w:lang w:eastAsia="es-MX"/>
        </w:rPr>
      </w:pPr>
      <w:r w:rsidRPr="00CA34F5">
        <w:rPr>
          <w:rFonts w:ascii="Arial" w:hAnsi="Arial" w:cs="Arial"/>
          <w:b/>
          <w:bCs/>
          <w:u w:val="single"/>
          <w:lang w:eastAsia="es-MX"/>
        </w:rPr>
        <w:t>Documentos p</w:t>
      </w:r>
      <w:r w:rsidR="009818AD" w:rsidRPr="00CA34F5">
        <w:rPr>
          <w:rFonts w:ascii="Arial" w:hAnsi="Arial" w:cs="Arial"/>
          <w:b/>
          <w:bCs/>
          <w:u w:val="single"/>
          <w:lang w:eastAsia="es-MX"/>
        </w:rPr>
        <w:t>or Pagar a Corto Plazo</w:t>
      </w:r>
    </w:p>
    <w:p w14:paraId="047BA5B5" w14:textId="77777777" w:rsidR="009818AD" w:rsidRPr="00CA34F5" w:rsidRDefault="009818AD" w:rsidP="000A4C31">
      <w:pPr>
        <w:spacing w:after="0" w:line="240" w:lineRule="auto"/>
        <w:jc w:val="both"/>
        <w:rPr>
          <w:rFonts w:ascii="Arial" w:hAnsi="Arial" w:cs="Arial"/>
          <w:lang w:eastAsia="es-MX"/>
        </w:rPr>
      </w:pPr>
      <w:r w:rsidRPr="00CA34F5">
        <w:rPr>
          <w:rFonts w:ascii="Arial" w:hAnsi="Arial" w:cs="Arial"/>
          <w:lang w:eastAsia="es-MX"/>
        </w:rPr>
        <w:t>No se tiene Documentos por Pagar a Corto Plazo.</w:t>
      </w:r>
    </w:p>
    <w:p w14:paraId="4CE0DAA5" w14:textId="77777777" w:rsidR="00DB7EE9" w:rsidRPr="00CA34F5" w:rsidRDefault="00DB7EE9" w:rsidP="000A4C31">
      <w:pPr>
        <w:spacing w:after="0" w:line="240" w:lineRule="auto"/>
        <w:jc w:val="both"/>
        <w:rPr>
          <w:rFonts w:ascii="Arial" w:hAnsi="Arial" w:cs="Arial"/>
          <w:b/>
          <w:lang w:eastAsia="es-MX"/>
        </w:rPr>
      </w:pPr>
    </w:p>
    <w:p w14:paraId="5E7D8AA8" w14:textId="77777777" w:rsidR="009468A9" w:rsidRDefault="009468A9" w:rsidP="007F6D23">
      <w:pPr>
        <w:spacing w:after="0" w:line="240" w:lineRule="auto"/>
        <w:jc w:val="both"/>
        <w:rPr>
          <w:rFonts w:ascii="Arial" w:hAnsi="Arial" w:cs="Arial"/>
          <w:b/>
          <w:bCs/>
          <w:u w:val="single"/>
          <w:lang w:eastAsia="es-MX"/>
        </w:rPr>
      </w:pPr>
    </w:p>
    <w:p w14:paraId="113D4007" w14:textId="77777777" w:rsidR="009468A9" w:rsidRDefault="009468A9" w:rsidP="007F6D23">
      <w:pPr>
        <w:spacing w:after="0" w:line="240" w:lineRule="auto"/>
        <w:jc w:val="both"/>
        <w:rPr>
          <w:rFonts w:ascii="Arial" w:hAnsi="Arial" w:cs="Arial"/>
          <w:b/>
          <w:bCs/>
          <w:u w:val="single"/>
          <w:lang w:eastAsia="es-MX"/>
        </w:rPr>
      </w:pPr>
    </w:p>
    <w:p w14:paraId="2A5C60EC" w14:textId="5C650610" w:rsidR="007F6D23" w:rsidRPr="00CA34F5" w:rsidRDefault="009818AD" w:rsidP="007F6D23">
      <w:pPr>
        <w:spacing w:after="0" w:line="240" w:lineRule="auto"/>
        <w:jc w:val="both"/>
        <w:rPr>
          <w:rFonts w:ascii="Arial" w:hAnsi="Arial" w:cs="Arial"/>
        </w:rPr>
      </w:pPr>
      <w:r w:rsidRPr="00CA34F5">
        <w:rPr>
          <w:rFonts w:ascii="Arial" w:hAnsi="Arial" w:cs="Arial"/>
          <w:b/>
          <w:bCs/>
          <w:u w:val="single"/>
          <w:lang w:eastAsia="es-MX"/>
        </w:rPr>
        <w:lastRenderedPageBreak/>
        <w:t>Porción a Corto Plazo de la Deuda Púb</w:t>
      </w:r>
      <w:r w:rsidR="00DE4126" w:rsidRPr="00CA34F5">
        <w:rPr>
          <w:rFonts w:ascii="Arial" w:hAnsi="Arial" w:cs="Arial"/>
          <w:b/>
          <w:bCs/>
          <w:u w:val="single"/>
          <w:lang w:eastAsia="es-MX"/>
        </w:rPr>
        <w:t xml:space="preserve">lica a Largo Plazo </w:t>
      </w:r>
      <w:r w:rsidR="007F6D23" w:rsidRPr="00CA34F5">
        <w:rPr>
          <w:rFonts w:ascii="Arial" w:hAnsi="Arial" w:cs="Arial"/>
        </w:rPr>
        <w:t xml:space="preserve"> </w:t>
      </w:r>
    </w:p>
    <w:p w14:paraId="7A089DEC" w14:textId="77777777" w:rsidR="0037471C" w:rsidRPr="00CA34F5" w:rsidRDefault="0037471C" w:rsidP="007F6D23">
      <w:pPr>
        <w:spacing w:after="0" w:line="240" w:lineRule="auto"/>
        <w:jc w:val="both"/>
        <w:rPr>
          <w:rFonts w:ascii="Arial" w:hAnsi="Arial" w:cs="Arial"/>
        </w:rPr>
      </w:pPr>
    </w:p>
    <w:p w14:paraId="2B7DE78C" w14:textId="7678096A" w:rsidR="00740BFC" w:rsidRPr="00CA34F5" w:rsidRDefault="00740BFC" w:rsidP="006E35C1">
      <w:pPr>
        <w:spacing w:after="0" w:line="240" w:lineRule="auto"/>
        <w:jc w:val="both"/>
        <w:rPr>
          <w:rFonts w:ascii="Arial" w:hAnsi="Arial" w:cs="Arial"/>
          <w:b/>
          <w:lang w:eastAsia="es-MX"/>
        </w:rPr>
      </w:pPr>
      <w:r w:rsidRPr="00CA34F5">
        <w:rPr>
          <w:rFonts w:ascii="Arial" w:hAnsi="Arial" w:cs="Arial"/>
          <w:lang w:eastAsia="es-MX"/>
        </w:rPr>
        <w:t>El sa</w:t>
      </w:r>
      <w:r w:rsidR="00F60EB5" w:rsidRPr="00CA34F5">
        <w:rPr>
          <w:rFonts w:ascii="Arial" w:hAnsi="Arial" w:cs="Arial"/>
          <w:lang w:eastAsia="es-MX"/>
        </w:rPr>
        <w:t>ldo de este rubro</w:t>
      </w:r>
      <w:r w:rsidR="002F7B6F" w:rsidRPr="00CA34F5">
        <w:rPr>
          <w:rFonts w:ascii="Arial" w:hAnsi="Arial" w:cs="Arial"/>
          <w:lang w:eastAsia="es-MX"/>
        </w:rPr>
        <w:t xml:space="preserve"> por </w:t>
      </w:r>
      <w:r w:rsidR="002F7B6F" w:rsidRPr="00CA34F5">
        <w:rPr>
          <w:rFonts w:ascii="Arial" w:hAnsi="Arial" w:cs="Arial"/>
          <w:b/>
          <w:lang w:eastAsia="es-MX"/>
        </w:rPr>
        <w:t>$255</w:t>
      </w:r>
      <w:proofErr w:type="gramStart"/>
      <w:r w:rsidR="002F7B6F" w:rsidRPr="00CA34F5">
        <w:rPr>
          <w:rFonts w:ascii="Arial" w:hAnsi="Arial" w:cs="Arial"/>
          <w:b/>
          <w:lang w:eastAsia="es-MX"/>
        </w:rPr>
        <w:t>,329,939</w:t>
      </w:r>
      <w:proofErr w:type="gramEnd"/>
      <w:r w:rsidR="002F7B6F" w:rsidRPr="00CA34F5">
        <w:rPr>
          <w:rFonts w:ascii="Arial" w:hAnsi="Arial" w:cs="Arial"/>
          <w:lang w:eastAsia="es-MX"/>
        </w:rPr>
        <w:t>,</w:t>
      </w:r>
      <w:r w:rsidR="00F60EB5" w:rsidRPr="00CA34F5">
        <w:rPr>
          <w:rFonts w:ascii="Arial" w:hAnsi="Arial" w:cs="Arial"/>
          <w:lang w:eastAsia="es-MX"/>
        </w:rPr>
        <w:t xml:space="preserve"> lo forman</w:t>
      </w:r>
      <w:r w:rsidR="00B959F5" w:rsidRPr="00CA34F5">
        <w:rPr>
          <w:rFonts w:ascii="Arial" w:hAnsi="Arial" w:cs="Arial"/>
          <w:lang w:eastAsia="es-MX"/>
        </w:rPr>
        <w:t xml:space="preserve"> vencimientos que de acuerdo a</w:t>
      </w:r>
      <w:r w:rsidRPr="00CA34F5">
        <w:rPr>
          <w:rFonts w:ascii="Arial" w:hAnsi="Arial" w:cs="Arial"/>
          <w:lang w:eastAsia="es-MX"/>
        </w:rPr>
        <w:t xml:space="preserve"> los respectivos contratos de crédito, ocurrirán durante el ejercicio 2022,  </w:t>
      </w:r>
      <w:r w:rsidRPr="00CA34F5">
        <w:rPr>
          <w:rFonts w:ascii="Arial" w:hAnsi="Arial" w:cs="Arial"/>
          <w:b/>
          <w:lang w:eastAsia="es-MX"/>
        </w:rPr>
        <w:t>La Ley de Deuda Pública del Estado de Tabasco y sus Municipios</w:t>
      </w:r>
      <w:r w:rsidRPr="00CA34F5">
        <w:rPr>
          <w:rFonts w:ascii="Arial" w:hAnsi="Arial" w:cs="Arial"/>
          <w:lang w:eastAsia="es-MX"/>
        </w:rPr>
        <w:t xml:space="preserve">, dispone que dicha Deuda esté constituida por las obligaciones directas e indirectas derivadas de empréstitos o créditos siempre y cuando tengan la aprobación del H. Congreso del Estado. Tales obligaciones estarán destinadas al financiamiento de inversiones públicas productivas o servicios públicos que en forma directa o mediata generen recursos públicos; y deberán cumplir los términos de la fracción VIII del Artículo 117 de la </w:t>
      </w:r>
      <w:r w:rsidRPr="00CA34F5">
        <w:rPr>
          <w:rFonts w:ascii="Arial" w:hAnsi="Arial" w:cs="Arial"/>
          <w:b/>
          <w:lang w:eastAsia="es-MX"/>
        </w:rPr>
        <w:t>Constitución Política de los Estados Unidos Mexicanos</w:t>
      </w:r>
      <w:r w:rsidRPr="00CA34F5">
        <w:rPr>
          <w:rFonts w:ascii="Arial" w:hAnsi="Arial" w:cs="Arial"/>
          <w:lang w:eastAsia="es-MX"/>
        </w:rPr>
        <w:t xml:space="preserve"> y de la fracción XXV del Artículo 2 de la </w:t>
      </w:r>
      <w:r w:rsidRPr="00CA34F5">
        <w:rPr>
          <w:rFonts w:ascii="Arial" w:hAnsi="Arial" w:cs="Arial"/>
          <w:b/>
        </w:rPr>
        <w:t>Ley de Disciplina Financiera de las Entidades Federativas y los Municipios.</w:t>
      </w:r>
    </w:p>
    <w:p w14:paraId="61BD2232" w14:textId="77777777" w:rsidR="00647550" w:rsidRPr="00CA34F5" w:rsidRDefault="00647550" w:rsidP="000A4C31">
      <w:pPr>
        <w:spacing w:after="0" w:line="240" w:lineRule="auto"/>
        <w:jc w:val="both"/>
        <w:rPr>
          <w:rFonts w:ascii="Arial" w:hAnsi="Arial" w:cs="Arial"/>
          <w:b/>
          <w:bCs/>
          <w:u w:val="single"/>
          <w:lang w:eastAsia="es-MX"/>
        </w:rPr>
      </w:pPr>
    </w:p>
    <w:p w14:paraId="3C201D4B" w14:textId="77777777" w:rsidR="009818AD" w:rsidRPr="00CA34F5" w:rsidRDefault="009818AD" w:rsidP="000A4C31">
      <w:pPr>
        <w:spacing w:after="0" w:line="240" w:lineRule="auto"/>
        <w:jc w:val="both"/>
        <w:rPr>
          <w:rFonts w:ascii="Arial" w:hAnsi="Arial" w:cs="Arial"/>
          <w:b/>
          <w:bCs/>
          <w:u w:val="single"/>
          <w:lang w:eastAsia="es-MX"/>
        </w:rPr>
      </w:pPr>
      <w:r w:rsidRPr="00CA34F5">
        <w:rPr>
          <w:rFonts w:ascii="Arial" w:hAnsi="Arial" w:cs="Arial"/>
          <w:b/>
          <w:bCs/>
          <w:u w:val="single"/>
          <w:lang w:eastAsia="es-MX"/>
        </w:rPr>
        <w:t>Títulos y Valores a Corto Plazo</w:t>
      </w:r>
    </w:p>
    <w:p w14:paraId="37109226" w14:textId="77777777" w:rsidR="009818AD" w:rsidRPr="00CA34F5" w:rsidRDefault="009818AD" w:rsidP="000A4C31">
      <w:pPr>
        <w:spacing w:before="240" w:after="0" w:line="240" w:lineRule="auto"/>
        <w:jc w:val="both"/>
        <w:rPr>
          <w:rFonts w:ascii="Arial" w:hAnsi="Arial" w:cs="Arial"/>
          <w:lang w:eastAsia="es-MX"/>
        </w:rPr>
      </w:pPr>
      <w:r w:rsidRPr="00CA34F5">
        <w:rPr>
          <w:rFonts w:ascii="Arial" w:hAnsi="Arial" w:cs="Arial"/>
          <w:lang w:eastAsia="es-MX"/>
        </w:rPr>
        <w:t>No se tiene Títulos y Valores a Corto Plazo</w:t>
      </w:r>
    </w:p>
    <w:p w14:paraId="17538C7D" w14:textId="77777777" w:rsidR="009818AD" w:rsidRPr="00CA34F5" w:rsidRDefault="009818AD" w:rsidP="000A4C31">
      <w:pPr>
        <w:spacing w:before="240" w:after="0" w:line="240" w:lineRule="auto"/>
        <w:jc w:val="both"/>
        <w:rPr>
          <w:rFonts w:ascii="Arial" w:hAnsi="Arial" w:cs="Arial"/>
          <w:b/>
          <w:bCs/>
          <w:u w:val="single"/>
          <w:lang w:eastAsia="es-MX"/>
        </w:rPr>
      </w:pPr>
      <w:r w:rsidRPr="00CA34F5">
        <w:rPr>
          <w:rFonts w:ascii="Arial" w:hAnsi="Arial" w:cs="Arial"/>
          <w:b/>
          <w:bCs/>
          <w:u w:val="single"/>
          <w:lang w:eastAsia="es-MX"/>
        </w:rPr>
        <w:t>Pasivos Diferidos a Corto Plazo</w:t>
      </w:r>
    </w:p>
    <w:p w14:paraId="7B414650" w14:textId="75C61F0B" w:rsidR="009818AD" w:rsidRPr="00CA34F5" w:rsidRDefault="00444FDF" w:rsidP="000A4C31">
      <w:pPr>
        <w:spacing w:before="240" w:after="0" w:line="240" w:lineRule="auto"/>
        <w:jc w:val="left"/>
        <w:rPr>
          <w:rFonts w:ascii="Arial" w:hAnsi="Arial" w:cs="Arial"/>
          <w:lang w:eastAsia="es-MX"/>
        </w:rPr>
      </w:pPr>
      <w:r w:rsidRPr="00CA34F5">
        <w:rPr>
          <w:rFonts w:ascii="Arial" w:hAnsi="Arial" w:cs="Arial"/>
          <w:lang w:eastAsia="es-MX"/>
        </w:rPr>
        <w:t>No se tiene</w:t>
      </w:r>
      <w:r w:rsidR="009818AD" w:rsidRPr="00CA34F5">
        <w:rPr>
          <w:rFonts w:ascii="Arial" w:hAnsi="Arial" w:cs="Arial"/>
          <w:lang w:eastAsia="es-MX"/>
        </w:rPr>
        <w:t xml:space="preserve"> Pasivo</w:t>
      </w:r>
      <w:r w:rsidRPr="00CA34F5">
        <w:rPr>
          <w:rFonts w:ascii="Arial" w:hAnsi="Arial" w:cs="Arial"/>
          <w:lang w:eastAsia="es-MX"/>
        </w:rPr>
        <w:t>s</w:t>
      </w:r>
      <w:r w:rsidR="009818AD" w:rsidRPr="00CA34F5">
        <w:rPr>
          <w:rFonts w:ascii="Arial" w:hAnsi="Arial" w:cs="Arial"/>
          <w:lang w:eastAsia="es-MX"/>
        </w:rPr>
        <w:t xml:space="preserve"> Diferidos a Corto Plazo</w:t>
      </w:r>
    </w:p>
    <w:p w14:paraId="43940398" w14:textId="77777777" w:rsidR="00843A92" w:rsidRPr="00CA34F5" w:rsidRDefault="00843A92" w:rsidP="000A4C31">
      <w:pPr>
        <w:spacing w:after="0" w:line="240" w:lineRule="auto"/>
        <w:jc w:val="both"/>
        <w:rPr>
          <w:rFonts w:ascii="Arial" w:hAnsi="Arial" w:cs="Arial"/>
          <w:b/>
          <w:bCs/>
          <w:u w:val="single"/>
          <w:lang w:eastAsia="es-MX"/>
        </w:rPr>
      </w:pPr>
    </w:p>
    <w:p w14:paraId="4F419008" w14:textId="22AEE76C" w:rsidR="00A742E1" w:rsidRPr="00CA34F5" w:rsidRDefault="009818AD" w:rsidP="006E35C1">
      <w:pPr>
        <w:spacing w:after="0" w:line="240" w:lineRule="auto"/>
        <w:jc w:val="both"/>
        <w:rPr>
          <w:rFonts w:ascii="Arial" w:hAnsi="Arial" w:cs="Arial"/>
          <w:b/>
          <w:bCs/>
          <w:u w:val="single"/>
          <w:lang w:eastAsia="es-MX"/>
        </w:rPr>
      </w:pPr>
      <w:r w:rsidRPr="00CA34F5">
        <w:rPr>
          <w:rFonts w:ascii="Arial" w:hAnsi="Arial" w:cs="Arial"/>
          <w:b/>
          <w:bCs/>
          <w:u w:val="single"/>
          <w:lang w:eastAsia="es-MX"/>
        </w:rPr>
        <w:t>Fondos y Bienes de Terceros en Garantía y</w:t>
      </w:r>
      <w:r w:rsidR="00372D44" w:rsidRPr="00CA34F5">
        <w:rPr>
          <w:rFonts w:ascii="Arial" w:hAnsi="Arial" w:cs="Arial"/>
          <w:b/>
          <w:bCs/>
          <w:u w:val="single"/>
          <w:lang w:eastAsia="es-MX"/>
        </w:rPr>
        <w:t>/o Adminis</w:t>
      </w:r>
      <w:r w:rsidR="00FF3137" w:rsidRPr="00CA34F5">
        <w:rPr>
          <w:rFonts w:ascii="Arial" w:hAnsi="Arial" w:cs="Arial"/>
          <w:b/>
          <w:bCs/>
          <w:u w:val="single"/>
          <w:lang w:eastAsia="es-MX"/>
        </w:rPr>
        <w:t>tración a Corto Plazo</w:t>
      </w:r>
      <w:r w:rsidR="00F364D2" w:rsidRPr="00CA34F5">
        <w:rPr>
          <w:rFonts w:ascii="Arial" w:hAnsi="Arial" w:cs="Arial"/>
          <w:b/>
          <w:bCs/>
          <w:u w:val="single"/>
          <w:lang w:eastAsia="es-MX"/>
        </w:rPr>
        <w:t xml:space="preserve"> </w:t>
      </w:r>
    </w:p>
    <w:p w14:paraId="2AF0CEE9" w14:textId="77777777" w:rsidR="0091247B" w:rsidRPr="00CA34F5" w:rsidRDefault="0091247B" w:rsidP="006E35C1">
      <w:pPr>
        <w:spacing w:after="0" w:line="240" w:lineRule="auto"/>
        <w:jc w:val="both"/>
        <w:rPr>
          <w:rFonts w:ascii="Arial" w:hAnsi="Arial" w:cs="Arial"/>
          <w:b/>
          <w:bCs/>
          <w:u w:val="single"/>
          <w:lang w:eastAsia="es-MX"/>
        </w:rPr>
      </w:pPr>
    </w:p>
    <w:p w14:paraId="712D2D90" w14:textId="6E8B9D18" w:rsidR="00A742E1" w:rsidRPr="00CA34F5" w:rsidRDefault="00FF3137" w:rsidP="000A4C31">
      <w:pPr>
        <w:spacing w:line="240" w:lineRule="auto"/>
        <w:jc w:val="both"/>
        <w:rPr>
          <w:rFonts w:ascii="Arial" w:hAnsi="Arial" w:cs="Arial"/>
        </w:rPr>
      </w:pPr>
      <w:r w:rsidRPr="00CA34F5">
        <w:rPr>
          <w:rFonts w:ascii="Arial" w:hAnsi="Arial" w:cs="Arial"/>
        </w:rPr>
        <w:t>El saldo de este</w:t>
      </w:r>
      <w:r w:rsidR="00A742E1" w:rsidRPr="00CA34F5">
        <w:rPr>
          <w:rFonts w:ascii="Arial" w:hAnsi="Arial" w:cs="Arial"/>
        </w:rPr>
        <w:t xml:space="preserve"> rubro </w:t>
      </w:r>
      <w:r w:rsidRPr="00CA34F5">
        <w:rPr>
          <w:rFonts w:ascii="Arial" w:hAnsi="Arial" w:cs="Arial"/>
        </w:rPr>
        <w:t>es</w:t>
      </w:r>
      <w:r w:rsidR="00A742E1" w:rsidRPr="00CA34F5">
        <w:rPr>
          <w:rFonts w:ascii="Arial" w:hAnsi="Arial" w:cs="Arial"/>
        </w:rPr>
        <w:t>:</w:t>
      </w:r>
      <w:r w:rsidRPr="00CA34F5">
        <w:rPr>
          <w:rFonts w:ascii="Arial" w:hAnsi="Arial" w:cs="Arial"/>
        </w:rPr>
        <w:t xml:space="preserve"> </w:t>
      </w:r>
      <w:r w:rsidRPr="00CA34F5">
        <w:rPr>
          <w:rFonts w:ascii="Arial" w:hAnsi="Arial" w:cs="Arial"/>
          <w:b/>
        </w:rPr>
        <w:t>$8</w:t>
      </w:r>
      <w:proofErr w:type="gramStart"/>
      <w:r w:rsidRPr="00CA34F5">
        <w:rPr>
          <w:rFonts w:ascii="Arial" w:hAnsi="Arial" w:cs="Arial"/>
          <w:b/>
        </w:rPr>
        <w:t>,392,307</w:t>
      </w:r>
      <w:proofErr w:type="gramEnd"/>
      <w:r w:rsidR="00826A6B" w:rsidRPr="00CA34F5">
        <w:rPr>
          <w:rFonts w:ascii="Arial" w:hAnsi="Arial" w:cs="Arial"/>
        </w:rPr>
        <w:t xml:space="preserve"> y se integra como sigue:</w:t>
      </w:r>
    </w:p>
    <w:p w14:paraId="28F23376" w14:textId="3FFCCE5F" w:rsidR="0091247B" w:rsidRPr="00CA34F5" w:rsidRDefault="0091247B" w:rsidP="0091247B">
      <w:pPr>
        <w:pStyle w:val="Prrafodelista"/>
        <w:numPr>
          <w:ilvl w:val="0"/>
          <w:numId w:val="20"/>
        </w:numPr>
        <w:spacing w:after="160" w:line="259" w:lineRule="auto"/>
        <w:jc w:val="both"/>
        <w:rPr>
          <w:rFonts w:ascii="Arial" w:hAnsi="Arial" w:cs="Arial"/>
        </w:rPr>
      </w:pPr>
      <w:r w:rsidRPr="00CA34F5">
        <w:rPr>
          <w:rFonts w:ascii="Arial" w:hAnsi="Arial" w:cs="Arial"/>
        </w:rPr>
        <w:t>Fondos en Garantía a Corto Plazo $7</w:t>
      </w:r>
      <w:proofErr w:type="gramStart"/>
      <w:r w:rsidRPr="00CA34F5">
        <w:rPr>
          <w:rFonts w:ascii="Arial" w:hAnsi="Arial" w:cs="Arial"/>
        </w:rPr>
        <w:t>,912,307</w:t>
      </w:r>
      <w:proofErr w:type="gramEnd"/>
      <w:r w:rsidRPr="00CA34F5">
        <w:rPr>
          <w:rFonts w:ascii="Arial" w:hAnsi="Arial" w:cs="Arial"/>
        </w:rPr>
        <w:t xml:space="preserve"> corresponde a fianzas de ejercicios anteriores y la cancelación de este pasivo es realizado por la Dirección de Tesorería</w:t>
      </w:r>
      <w:r w:rsidR="00E82514">
        <w:rPr>
          <w:rFonts w:ascii="Arial" w:hAnsi="Arial" w:cs="Arial"/>
        </w:rPr>
        <w:t xml:space="preserve"> de esta Secretaría de Finanzas, a solicitud del contribuyente. </w:t>
      </w:r>
      <w:r w:rsidRPr="00CA34F5">
        <w:rPr>
          <w:rFonts w:ascii="Arial" w:hAnsi="Arial" w:cs="Arial"/>
        </w:rPr>
        <w:t>Su desagregación por vencimiento es mayor a 365 días.</w:t>
      </w:r>
    </w:p>
    <w:p w14:paraId="6EAD1001" w14:textId="77777777" w:rsidR="0091247B" w:rsidRPr="00CA34F5" w:rsidRDefault="0091247B" w:rsidP="0091247B">
      <w:pPr>
        <w:pStyle w:val="Prrafodelista"/>
        <w:jc w:val="both"/>
        <w:rPr>
          <w:rFonts w:ascii="Arial" w:hAnsi="Arial" w:cs="Arial"/>
        </w:rPr>
      </w:pPr>
    </w:p>
    <w:p w14:paraId="004BE3EA" w14:textId="666F9355" w:rsidR="0091247B" w:rsidRDefault="0091247B" w:rsidP="0091247B">
      <w:pPr>
        <w:pStyle w:val="Prrafodelista"/>
        <w:numPr>
          <w:ilvl w:val="0"/>
          <w:numId w:val="20"/>
        </w:numPr>
        <w:spacing w:after="160" w:line="259" w:lineRule="auto"/>
        <w:jc w:val="both"/>
        <w:rPr>
          <w:rFonts w:ascii="Arial" w:hAnsi="Arial" w:cs="Arial"/>
        </w:rPr>
      </w:pPr>
      <w:r w:rsidRPr="00CA34F5">
        <w:rPr>
          <w:rFonts w:ascii="Arial" w:hAnsi="Arial" w:cs="Arial"/>
        </w:rPr>
        <w:t>Valores y Bienes en Garantía a Corto Plazo</w:t>
      </w:r>
      <w:r w:rsidR="005B2015">
        <w:rPr>
          <w:rFonts w:ascii="Arial" w:hAnsi="Arial" w:cs="Arial"/>
        </w:rPr>
        <w:t xml:space="preserve">, </w:t>
      </w:r>
      <w:r w:rsidRPr="00CA34F5">
        <w:rPr>
          <w:rFonts w:ascii="Arial" w:hAnsi="Arial" w:cs="Arial"/>
        </w:rPr>
        <w:t xml:space="preserve"> por $480,000 de depósitos bancarios por concepto de aperturas de averiguaciones previas por aseguramiento de bienes (semovientes</w:t>
      </w:r>
      <w:r w:rsidR="005B2015" w:rsidRPr="00CA34F5">
        <w:rPr>
          <w:rFonts w:ascii="Arial" w:hAnsi="Arial" w:cs="Arial"/>
        </w:rPr>
        <w:t xml:space="preserve">). </w:t>
      </w:r>
      <w:r w:rsidRPr="00CA34F5">
        <w:rPr>
          <w:rFonts w:ascii="Arial" w:hAnsi="Arial" w:cs="Arial"/>
        </w:rPr>
        <w:t>Su desagregación es mayor a 365 días.</w:t>
      </w:r>
    </w:p>
    <w:p w14:paraId="5EACC1D1" w14:textId="77777777" w:rsidR="005B2015" w:rsidRPr="005B2015" w:rsidRDefault="005B2015" w:rsidP="005B2015">
      <w:pPr>
        <w:pStyle w:val="Prrafodelista"/>
        <w:rPr>
          <w:rFonts w:ascii="Arial" w:hAnsi="Arial" w:cs="Arial"/>
        </w:rPr>
      </w:pPr>
    </w:p>
    <w:p w14:paraId="17A2E15F" w14:textId="77777777" w:rsidR="005B2015" w:rsidRPr="00CA34F5" w:rsidRDefault="005B2015" w:rsidP="005B2015">
      <w:pPr>
        <w:pStyle w:val="Prrafodelista"/>
        <w:spacing w:after="160" w:line="259" w:lineRule="auto"/>
        <w:jc w:val="both"/>
        <w:rPr>
          <w:rFonts w:ascii="Arial" w:hAnsi="Arial" w:cs="Arial"/>
        </w:rPr>
      </w:pPr>
    </w:p>
    <w:p w14:paraId="75CDFCB8" w14:textId="77777777" w:rsidR="009468A9" w:rsidRDefault="009468A9" w:rsidP="000A4C31">
      <w:pPr>
        <w:spacing w:line="240" w:lineRule="auto"/>
        <w:jc w:val="both"/>
        <w:rPr>
          <w:rFonts w:ascii="Arial" w:hAnsi="Arial" w:cs="Arial"/>
          <w:b/>
          <w:u w:val="single"/>
        </w:rPr>
      </w:pPr>
    </w:p>
    <w:p w14:paraId="639A46F3" w14:textId="68BD435E" w:rsidR="00B04A56" w:rsidRPr="00CA34F5" w:rsidRDefault="00B04A56" w:rsidP="000A4C31">
      <w:pPr>
        <w:spacing w:line="240" w:lineRule="auto"/>
        <w:jc w:val="both"/>
        <w:rPr>
          <w:rFonts w:ascii="Arial" w:hAnsi="Arial" w:cs="Arial"/>
          <w:b/>
          <w:u w:val="single"/>
        </w:rPr>
      </w:pPr>
      <w:r w:rsidRPr="00CA34F5">
        <w:rPr>
          <w:rFonts w:ascii="Arial" w:hAnsi="Arial" w:cs="Arial"/>
          <w:b/>
          <w:u w:val="single"/>
        </w:rPr>
        <w:t>Provis</w:t>
      </w:r>
      <w:r w:rsidR="00A56583" w:rsidRPr="00CA34F5">
        <w:rPr>
          <w:rFonts w:ascii="Arial" w:hAnsi="Arial" w:cs="Arial"/>
          <w:b/>
          <w:u w:val="single"/>
        </w:rPr>
        <w:t xml:space="preserve">iones a Corto Plazo </w:t>
      </w:r>
    </w:p>
    <w:p w14:paraId="689E30D4" w14:textId="1985544B" w:rsidR="00B60FFA" w:rsidRDefault="00B60FFA" w:rsidP="000A4C31">
      <w:pPr>
        <w:spacing w:after="0" w:line="240" w:lineRule="auto"/>
        <w:jc w:val="both"/>
        <w:rPr>
          <w:rFonts w:ascii="Arial" w:hAnsi="Arial" w:cs="Arial"/>
        </w:rPr>
      </w:pPr>
      <w:r w:rsidRPr="00CA34F5">
        <w:rPr>
          <w:rFonts w:ascii="Arial" w:hAnsi="Arial" w:cs="Arial"/>
        </w:rPr>
        <w:t>No se tiene saldo en este rubro.</w:t>
      </w:r>
    </w:p>
    <w:p w14:paraId="7F80540E" w14:textId="77777777" w:rsidR="00BF1405" w:rsidRDefault="00BF1405" w:rsidP="000A4C31">
      <w:pPr>
        <w:spacing w:after="0" w:line="240" w:lineRule="auto"/>
        <w:jc w:val="both"/>
        <w:rPr>
          <w:rFonts w:ascii="Arial" w:hAnsi="Arial" w:cs="Arial"/>
        </w:rPr>
      </w:pPr>
    </w:p>
    <w:p w14:paraId="7925A84D" w14:textId="77777777" w:rsidR="00BF1405" w:rsidRPr="00CA34F5" w:rsidRDefault="00BF1405" w:rsidP="000A4C31">
      <w:pPr>
        <w:spacing w:after="0" w:line="240" w:lineRule="auto"/>
        <w:jc w:val="both"/>
        <w:rPr>
          <w:rFonts w:ascii="Arial" w:hAnsi="Arial" w:cs="Arial"/>
        </w:rPr>
      </w:pPr>
    </w:p>
    <w:p w14:paraId="246FF76B" w14:textId="77777777" w:rsidR="00B60FFA" w:rsidRPr="00CA34F5" w:rsidRDefault="00B60FFA" w:rsidP="000A4C31">
      <w:pPr>
        <w:spacing w:after="0" w:line="240" w:lineRule="auto"/>
        <w:jc w:val="both"/>
        <w:rPr>
          <w:rFonts w:ascii="Arial" w:hAnsi="Arial" w:cs="Arial"/>
        </w:rPr>
      </w:pPr>
    </w:p>
    <w:p w14:paraId="7A65172D" w14:textId="77777777" w:rsidR="009468A9" w:rsidRDefault="009468A9" w:rsidP="000A4C31">
      <w:pPr>
        <w:spacing w:after="0" w:line="240" w:lineRule="auto"/>
        <w:jc w:val="both"/>
        <w:rPr>
          <w:rFonts w:ascii="Arial" w:hAnsi="Arial" w:cs="Arial"/>
          <w:b/>
          <w:bCs/>
          <w:u w:val="single"/>
          <w:lang w:eastAsia="es-MX"/>
        </w:rPr>
      </w:pPr>
    </w:p>
    <w:p w14:paraId="48FECEDA" w14:textId="4DCC81D9" w:rsidR="009818AD" w:rsidRPr="00CA34F5" w:rsidRDefault="00C6542F" w:rsidP="000A4C31">
      <w:pPr>
        <w:spacing w:after="0" w:line="240" w:lineRule="auto"/>
        <w:jc w:val="both"/>
        <w:rPr>
          <w:rFonts w:ascii="Arial" w:hAnsi="Arial" w:cs="Arial"/>
          <w:color w:val="FF0000"/>
        </w:rPr>
      </w:pPr>
      <w:r w:rsidRPr="00CA34F5">
        <w:rPr>
          <w:rFonts w:ascii="Arial" w:hAnsi="Arial" w:cs="Arial"/>
          <w:b/>
          <w:bCs/>
          <w:u w:val="single"/>
          <w:lang w:eastAsia="es-MX"/>
        </w:rPr>
        <w:lastRenderedPageBreak/>
        <w:t>Otros Pasivos a Corto Plazo</w:t>
      </w:r>
      <w:r w:rsidR="006F79A4" w:rsidRPr="00CA34F5">
        <w:rPr>
          <w:rFonts w:ascii="Arial" w:hAnsi="Arial" w:cs="Arial"/>
          <w:color w:val="FF0000"/>
        </w:rPr>
        <w:t xml:space="preserve"> </w:t>
      </w:r>
    </w:p>
    <w:p w14:paraId="6A169263" w14:textId="77777777" w:rsidR="00A32079" w:rsidRPr="00CA34F5" w:rsidRDefault="00A32079" w:rsidP="000A4C31">
      <w:pPr>
        <w:spacing w:after="0" w:line="240" w:lineRule="auto"/>
        <w:jc w:val="both"/>
        <w:rPr>
          <w:rFonts w:ascii="Arial" w:hAnsi="Arial" w:cs="Arial"/>
          <w:color w:val="FF0000"/>
        </w:rPr>
      </w:pPr>
    </w:p>
    <w:p w14:paraId="2E3FFF42" w14:textId="37A6A1A4" w:rsidR="009D1187" w:rsidRPr="00CA34F5" w:rsidRDefault="008B2668" w:rsidP="009D1187">
      <w:pPr>
        <w:spacing w:line="240" w:lineRule="auto"/>
        <w:jc w:val="both"/>
        <w:rPr>
          <w:rFonts w:ascii="Arial" w:hAnsi="Arial" w:cs="Arial"/>
        </w:rPr>
      </w:pPr>
      <w:r w:rsidRPr="00CA34F5">
        <w:rPr>
          <w:rFonts w:ascii="Arial" w:hAnsi="Arial" w:cs="Arial"/>
        </w:rPr>
        <w:t xml:space="preserve"> E</w:t>
      </w:r>
      <w:r w:rsidR="009D1187" w:rsidRPr="00CA34F5">
        <w:rPr>
          <w:rFonts w:ascii="Arial" w:hAnsi="Arial" w:cs="Arial"/>
        </w:rPr>
        <w:t>ste rubro se integra como sigue:</w:t>
      </w:r>
    </w:p>
    <w:tbl>
      <w:tblPr>
        <w:tblW w:w="5800" w:type="dxa"/>
        <w:jc w:val="center"/>
        <w:tblCellMar>
          <w:left w:w="70" w:type="dxa"/>
          <w:right w:w="70" w:type="dxa"/>
        </w:tblCellMar>
        <w:tblLook w:val="04A0" w:firstRow="1" w:lastRow="0" w:firstColumn="1" w:lastColumn="0" w:noHBand="0" w:noVBand="1"/>
      </w:tblPr>
      <w:tblGrid>
        <w:gridCol w:w="2760"/>
        <w:gridCol w:w="1840"/>
        <w:gridCol w:w="1200"/>
      </w:tblGrid>
      <w:tr w:rsidR="002F767E" w:rsidRPr="00CA34F5" w14:paraId="333073C0" w14:textId="77777777" w:rsidTr="002F767E">
        <w:trPr>
          <w:trHeight w:val="465"/>
          <w:jc w:val="center"/>
        </w:trPr>
        <w:tc>
          <w:tcPr>
            <w:tcW w:w="2760"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694A5B75" w14:textId="77777777" w:rsidR="002F767E" w:rsidRPr="00CA34F5" w:rsidRDefault="002F767E" w:rsidP="003E3C3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Cuentas de mayor que integran este rubro</w:t>
            </w:r>
          </w:p>
        </w:tc>
        <w:tc>
          <w:tcPr>
            <w:tcW w:w="1840" w:type="dxa"/>
            <w:tcBorders>
              <w:top w:val="single" w:sz="8" w:space="0" w:color="auto"/>
              <w:left w:val="nil"/>
              <w:bottom w:val="single" w:sz="8" w:space="0" w:color="auto"/>
              <w:right w:val="single" w:sz="8" w:space="0" w:color="auto"/>
            </w:tcBorders>
            <w:shd w:val="clear" w:color="000000" w:fill="A6A6A6"/>
            <w:vAlign w:val="center"/>
            <w:hideMark/>
          </w:tcPr>
          <w:p w14:paraId="64A38D97" w14:textId="57F0E1B1" w:rsidR="002F767E" w:rsidRPr="00CA34F5" w:rsidRDefault="002F767E" w:rsidP="003E3C3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Saldos al 31 diciembre de 2021</w:t>
            </w:r>
          </w:p>
        </w:tc>
        <w:tc>
          <w:tcPr>
            <w:tcW w:w="1200" w:type="dxa"/>
            <w:tcBorders>
              <w:top w:val="single" w:sz="8" w:space="0" w:color="auto"/>
              <w:left w:val="nil"/>
              <w:bottom w:val="single" w:sz="8" w:space="0" w:color="auto"/>
              <w:right w:val="single" w:sz="8" w:space="0" w:color="auto"/>
            </w:tcBorders>
            <w:shd w:val="clear" w:color="000000" w:fill="A6A6A6"/>
            <w:vAlign w:val="center"/>
            <w:hideMark/>
          </w:tcPr>
          <w:p w14:paraId="717BBDE2" w14:textId="77777777" w:rsidR="002F767E" w:rsidRPr="00CA34F5" w:rsidRDefault="002F767E" w:rsidP="003E3C3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w:t>
            </w:r>
          </w:p>
        </w:tc>
      </w:tr>
      <w:tr w:rsidR="002F767E" w:rsidRPr="00CA34F5" w14:paraId="16C0347A" w14:textId="77777777" w:rsidTr="002F767E">
        <w:trPr>
          <w:trHeight w:val="315"/>
          <w:jc w:val="center"/>
        </w:trPr>
        <w:tc>
          <w:tcPr>
            <w:tcW w:w="2760" w:type="dxa"/>
            <w:tcBorders>
              <w:top w:val="nil"/>
              <w:left w:val="single" w:sz="8" w:space="0" w:color="auto"/>
              <w:bottom w:val="single" w:sz="8" w:space="0" w:color="auto"/>
              <w:right w:val="single" w:sz="8" w:space="0" w:color="auto"/>
            </w:tcBorders>
            <w:shd w:val="clear" w:color="auto" w:fill="auto"/>
            <w:vAlign w:val="center"/>
            <w:hideMark/>
          </w:tcPr>
          <w:p w14:paraId="64D54EE9" w14:textId="77777777" w:rsidR="002F767E" w:rsidRPr="00CA34F5" w:rsidRDefault="002F767E" w:rsidP="003E3C3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Ingresos por Clasificar</w:t>
            </w:r>
          </w:p>
        </w:tc>
        <w:tc>
          <w:tcPr>
            <w:tcW w:w="1840" w:type="dxa"/>
            <w:tcBorders>
              <w:top w:val="nil"/>
              <w:left w:val="nil"/>
              <w:bottom w:val="single" w:sz="8" w:space="0" w:color="auto"/>
              <w:right w:val="single" w:sz="8" w:space="0" w:color="auto"/>
            </w:tcBorders>
            <w:shd w:val="clear" w:color="auto" w:fill="auto"/>
            <w:vAlign w:val="center"/>
            <w:hideMark/>
          </w:tcPr>
          <w:p w14:paraId="66412964" w14:textId="77777777" w:rsidR="002F767E" w:rsidRPr="00CA34F5" w:rsidRDefault="002F767E" w:rsidP="003E3C3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41,218,828</w:t>
            </w:r>
          </w:p>
        </w:tc>
        <w:tc>
          <w:tcPr>
            <w:tcW w:w="1200" w:type="dxa"/>
            <w:tcBorders>
              <w:top w:val="nil"/>
              <w:left w:val="nil"/>
              <w:bottom w:val="single" w:sz="8" w:space="0" w:color="auto"/>
              <w:right w:val="single" w:sz="8" w:space="0" w:color="auto"/>
            </w:tcBorders>
            <w:shd w:val="clear" w:color="auto" w:fill="auto"/>
            <w:vAlign w:val="center"/>
            <w:hideMark/>
          </w:tcPr>
          <w:p w14:paraId="6CDDDEFB" w14:textId="10EF2A7D" w:rsidR="002F767E" w:rsidRPr="00CA34F5" w:rsidRDefault="002F767E" w:rsidP="003E3C3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17.71</w:t>
            </w:r>
          </w:p>
        </w:tc>
      </w:tr>
      <w:tr w:rsidR="002F767E" w:rsidRPr="00CA34F5" w14:paraId="4D40BD17" w14:textId="77777777" w:rsidTr="002F767E">
        <w:trPr>
          <w:trHeight w:val="315"/>
          <w:jc w:val="center"/>
        </w:trPr>
        <w:tc>
          <w:tcPr>
            <w:tcW w:w="2760" w:type="dxa"/>
            <w:tcBorders>
              <w:top w:val="nil"/>
              <w:left w:val="single" w:sz="8" w:space="0" w:color="auto"/>
              <w:bottom w:val="single" w:sz="8" w:space="0" w:color="auto"/>
              <w:right w:val="single" w:sz="8" w:space="0" w:color="auto"/>
            </w:tcBorders>
            <w:shd w:val="clear" w:color="auto" w:fill="auto"/>
            <w:vAlign w:val="center"/>
            <w:hideMark/>
          </w:tcPr>
          <w:p w14:paraId="66A9F85F" w14:textId="77777777" w:rsidR="002F767E" w:rsidRPr="00CA34F5" w:rsidRDefault="002F767E" w:rsidP="003E3C3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Recaudación por Clasificar</w:t>
            </w:r>
          </w:p>
        </w:tc>
        <w:tc>
          <w:tcPr>
            <w:tcW w:w="1840" w:type="dxa"/>
            <w:tcBorders>
              <w:top w:val="nil"/>
              <w:left w:val="nil"/>
              <w:bottom w:val="single" w:sz="8" w:space="0" w:color="auto"/>
              <w:right w:val="single" w:sz="8" w:space="0" w:color="auto"/>
            </w:tcBorders>
            <w:shd w:val="clear" w:color="auto" w:fill="auto"/>
            <w:vAlign w:val="center"/>
            <w:hideMark/>
          </w:tcPr>
          <w:p w14:paraId="21AA3C5D" w14:textId="77777777" w:rsidR="002F767E" w:rsidRPr="00CA34F5" w:rsidRDefault="002F767E" w:rsidP="003E3C3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59,447,691</w:t>
            </w:r>
          </w:p>
        </w:tc>
        <w:tc>
          <w:tcPr>
            <w:tcW w:w="1200" w:type="dxa"/>
            <w:tcBorders>
              <w:top w:val="nil"/>
              <w:left w:val="nil"/>
              <w:bottom w:val="single" w:sz="8" w:space="0" w:color="auto"/>
              <w:right w:val="single" w:sz="8" w:space="0" w:color="auto"/>
            </w:tcBorders>
            <w:shd w:val="clear" w:color="auto" w:fill="auto"/>
            <w:vAlign w:val="center"/>
            <w:hideMark/>
          </w:tcPr>
          <w:p w14:paraId="1ADA8C30" w14:textId="532AEC79" w:rsidR="002F767E" w:rsidRPr="00CA34F5" w:rsidRDefault="002F767E" w:rsidP="003E3C3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25.55</w:t>
            </w:r>
          </w:p>
        </w:tc>
      </w:tr>
      <w:tr w:rsidR="002F767E" w:rsidRPr="00CA34F5" w14:paraId="70050BEA" w14:textId="77777777" w:rsidTr="002F767E">
        <w:trPr>
          <w:trHeight w:val="315"/>
          <w:jc w:val="center"/>
        </w:trPr>
        <w:tc>
          <w:tcPr>
            <w:tcW w:w="2760" w:type="dxa"/>
            <w:tcBorders>
              <w:top w:val="nil"/>
              <w:left w:val="single" w:sz="8" w:space="0" w:color="auto"/>
              <w:bottom w:val="single" w:sz="8" w:space="0" w:color="auto"/>
              <w:right w:val="single" w:sz="8" w:space="0" w:color="auto"/>
            </w:tcBorders>
            <w:shd w:val="clear" w:color="auto" w:fill="auto"/>
            <w:vAlign w:val="center"/>
            <w:hideMark/>
          </w:tcPr>
          <w:p w14:paraId="47A30946" w14:textId="77777777" w:rsidR="002F767E" w:rsidRPr="00CA34F5" w:rsidRDefault="002F767E" w:rsidP="003E3C3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Otros Pasivos Circulantes</w:t>
            </w:r>
          </w:p>
        </w:tc>
        <w:tc>
          <w:tcPr>
            <w:tcW w:w="1840" w:type="dxa"/>
            <w:tcBorders>
              <w:top w:val="nil"/>
              <w:left w:val="nil"/>
              <w:bottom w:val="single" w:sz="8" w:space="0" w:color="auto"/>
              <w:right w:val="single" w:sz="8" w:space="0" w:color="auto"/>
            </w:tcBorders>
            <w:shd w:val="clear" w:color="auto" w:fill="auto"/>
            <w:vAlign w:val="center"/>
            <w:hideMark/>
          </w:tcPr>
          <w:p w14:paraId="54A7AE2D" w14:textId="77777777" w:rsidR="002F767E" w:rsidRPr="00CA34F5" w:rsidRDefault="002F767E" w:rsidP="003E3C3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132,044,732</w:t>
            </w:r>
          </w:p>
        </w:tc>
        <w:tc>
          <w:tcPr>
            <w:tcW w:w="1200" w:type="dxa"/>
            <w:tcBorders>
              <w:top w:val="nil"/>
              <w:left w:val="nil"/>
              <w:bottom w:val="single" w:sz="8" w:space="0" w:color="auto"/>
              <w:right w:val="single" w:sz="8" w:space="0" w:color="auto"/>
            </w:tcBorders>
            <w:shd w:val="clear" w:color="auto" w:fill="auto"/>
            <w:vAlign w:val="center"/>
            <w:hideMark/>
          </w:tcPr>
          <w:p w14:paraId="3FD1D5D4" w14:textId="2110AE1A" w:rsidR="002F767E" w:rsidRPr="00CA34F5" w:rsidRDefault="002F767E" w:rsidP="003E3C3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56.74</w:t>
            </w:r>
          </w:p>
        </w:tc>
      </w:tr>
      <w:tr w:rsidR="002F767E" w:rsidRPr="00CA34F5" w14:paraId="21A829CB" w14:textId="77777777" w:rsidTr="002F767E">
        <w:trPr>
          <w:trHeight w:val="315"/>
          <w:jc w:val="center"/>
        </w:trPr>
        <w:tc>
          <w:tcPr>
            <w:tcW w:w="2760" w:type="dxa"/>
            <w:tcBorders>
              <w:top w:val="nil"/>
              <w:left w:val="single" w:sz="8" w:space="0" w:color="auto"/>
              <w:bottom w:val="single" w:sz="8" w:space="0" w:color="auto"/>
              <w:right w:val="single" w:sz="8" w:space="0" w:color="auto"/>
            </w:tcBorders>
            <w:shd w:val="clear" w:color="auto" w:fill="auto"/>
            <w:vAlign w:val="center"/>
            <w:hideMark/>
          </w:tcPr>
          <w:p w14:paraId="0CA7116A" w14:textId="77777777" w:rsidR="002F767E" w:rsidRPr="00CA34F5" w:rsidRDefault="002F767E" w:rsidP="00106942">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Total</w:t>
            </w:r>
          </w:p>
        </w:tc>
        <w:tc>
          <w:tcPr>
            <w:tcW w:w="1840" w:type="dxa"/>
            <w:tcBorders>
              <w:top w:val="nil"/>
              <w:left w:val="nil"/>
              <w:bottom w:val="single" w:sz="8" w:space="0" w:color="auto"/>
              <w:right w:val="single" w:sz="8" w:space="0" w:color="auto"/>
            </w:tcBorders>
            <w:shd w:val="clear" w:color="auto" w:fill="auto"/>
            <w:vAlign w:val="center"/>
            <w:hideMark/>
          </w:tcPr>
          <w:p w14:paraId="0053B74D" w14:textId="77777777" w:rsidR="002F767E" w:rsidRPr="00CA34F5" w:rsidRDefault="002F767E" w:rsidP="003E3C32">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232,711,251</w:t>
            </w:r>
          </w:p>
        </w:tc>
        <w:tc>
          <w:tcPr>
            <w:tcW w:w="1200" w:type="dxa"/>
            <w:tcBorders>
              <w:top w:val="nil"/>
              <w:left w:val="nil"/>
              <w:bottom w:val="single" w:sz="8" w:space="0" w:color="auto"/>
              <w:right w:val="single" w:sz="8" w:space="0" w:color="auto"/>
            </w:tcBorders>
            <w:shd w:val="clear" w:color="auto" w:fill="auto"/>
            <w:vAlign w:val="center"/>
            <w:hideMark/>
          </w:tcPr>
          <w:p w14:paraId="26ABA365" w14:textId="00169CBF" w:rsidR="002F767E" w:rsidRPr="00CA34F5" w:rsidRDefault="002F767E" w:rsidP="003E3C3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100</w:t>
            </w:r>
          </w:p>
        </w:tc>
      </w:tr>
    </w:tbl>
    <w:p w14:paraId="61AB9C6D" w14:textId="77777777" w:rsidR="002F767E" w:rsidRPr="00CA34F5" w:rsidRDefault="002F767E" w:rsidP="002F767E">
      <w:pPr>
        <w:spacing w:line="240" w:lineRule="auto"/>
        <w:rPr>
          <w:rFonts w:ascii="Arial" w:hAnsi="Arial" w:cs="Arial"/>
        </w:rPr>
      </w:pPr>
    </w:p>
    <w:p w14:paraId="57FAD440" w14:textId="77777777" w:rsidR="00E770B7" w:rsidRPr="00CA34F5" w:rsidRDefault="00E770B7" w:rsidP="000A4C31">
      <w:pPr>
        <w:spacing w:after="0" w:line="240" w:lineRule="auto"/>
        <w:ind w:right="49"/>
        <w:jc w:val="both"/>
        <w:rPr>
          <w:rFonts w:ascii="Arial" w:eastAsia="DIN Next LT Pro Condensed" w:hAnsi="Arial" w:cs="Arial"/>
          <w:spacing w:val="8"/>
        </w:rPr>
      </w:pPr>
      <w:r w:rsidRPr="00CA34F5">
        <w:rPr>
          <w:rFonts w:ascii="Arial" w:eastAsia="DIN Next LT Pro Condensed" w:hAnsi="Arial" w:cs="Arial"/>
        </w:rPr>
        <w:t>Comentarios</w:t>
      </w:r>
      <w:r w:rsidRPr="00CA34F5">
        <w:rPr>
          <w:rFonts w:ascii="Arial" w:eastAsia="DIN Next LT Pro Condensed" w:hAnsi="Arial" w:cs="Arial"/>
          <w:spacing w:val="17"/>
        </w:rPr>
        <w:t xml:space="preserve"> </w:t>
      </w:r>
      <w:r w:rsidRPr="00CA34F5">
        <w:rPr>
          <w:rFonts w:ascii="Arial" w:eastAsia="DIN Next LT Pro Condensed" w:hAnsi="Arial" w:cs="Arial"/>
        </w:rPr>
        <w:t>a</w:t>
      </w:r>
      <w:r w:rsidRPr="00CA34F5">
        <w:rPr>
          <w:rFonts w:ascii="Arial" w:eastAsia="DIN Next LT Pro Condensed" w:hAnsi="Arial" w:cs="Arial"/>
          <w:spacing w:val="3"/>
        </w:rPr>
        <w:t xml:space="preserve"> </w:t>
      </w:r>
      <w:r w:rsidRPr="00CA34F5">
        <w:rPr>
          <w:rFonts w:ascii="Arial" w:eastAsia="DIN Next LT Pro Condensed" w:hAnsi="Arial" w:cs="Arial"/>
        </w:rPr>
        <w:t>los</w:t>
      </w:r>
      <w:r w:rsidRPr="00CA34F5">
        <w:rPr>
          <w:rFonts w:ascii="Arial" w:eastAsia="DIN Next LT Pro Condensed" w:hAnsi="Arial" w:cs="Arial"/>
          <w:spacing w:val="5"/>
        </w:rPr>
        <w:t xml:space="preserve"> </w:t>
      </w:r>
      <w:r w:rsidRPr="00CA34F5">
        <w:rPr>
          <w:rFonts w:ascii="Arial" w:eastAsia="DIN Next LT Pro Condensed" w:hAnsi="Arial" w:cs="Arial"/>
        </w:rPr>
        <w:t>saldos</w:t>
      </w:r>
      <w:r w:rsidRPr="00CA34F5">
        <w:rPr>
          <w:rFonts w:ascii="Arial" w:eastAsia="DIN Next LT Pro Condensed" w:hAnsi="Arial" w:cs="Arial"/>
          <w:spacing w:val="10"/>
        </w:rPr>
        <w:t xml:space="preserve"> </w:t>
      </w:r>
      <w:r w:rsidRPr="00CA34F5">
        <w:rPr>
          <w:rFonts w:ascii="Arial" w:eastAsia="DIN Next LT Pro Condensed" w:hAnsi="Arial" w:cs="Arial"/>
        </w:rPr>
        <w:t>que</w:t>
      </w:r>
      <w:r w:rsidRPr="00CA34F5">
        <w:rPr>
          <w:rFonts w:ascii="Arial" w:eastAsia="DIN Next LT Pro Condensed" w:hAnsi="Arial" w:cs="Arial"/>
          <w:spacing w:val="6"/>
        </w:rPr>
        <w:t xml:space="preserve"> </w:t>
      </w:r>
      <w:r w:rsidRPr="00CA34F5">
        <w:rPr>
          <w:rFonts w:ascii="Arial" w:eastAsia="DIN Next LT Pro Condensed" w:hAnsi="Arial" w:cs="Arial"/>
        </w:rPr>
        <w:t>integran</w:t>
      </w:r>
      <w:r w:rsidRPr="00CA34F5">
        <w:rPr>
          <w:rFonts w:ascii="Arial" w:eastAsia="DIN Next LT Pro Condensed" w:hAnsi="Arial" w:cs="Arial"/>
          <w:spacing w:val="12"/>
        </w:rPr>
        <w:t xml:space="preserve"> </w:t>
      </w:r>
      <w:r w:rsidRPr="00CA34F5">
        <w:rPr>
          <w:rFonts w:ascii="Arial" w:eastAsia="DIN Next LT Pro Condensed" w:hAnsi="Arial" w:cs="Arial"/>
        </w:rPr>
        <w:t>este rubro</w:t>
      </w:r>
      <w:r w:rsidRPr="00CA34F5">
        <w:rPr>
          <w:rFonts w:ascii="Arial" w:eastAsia="DIN Next LT Pro Condensed" w:hAnsi="Arial" w:cs="Arial"/>
          <w:spacing w:val="8"/>
        </w:rPr>
        <w:t>:</w:t>
      </w:r>
    </w:p>
    <w:p w14:paraId="352A7223" w14:textId="77777777" w:rsidR="006C22E7" w:rsidRPr="00CA34F5" w:rsidRDefault="006C22E7" w:rsidP="000A4C31">
      <w:pPr>
        <w:spacing w:after="0" w:line="240" w:lineRule="auto"/>
        <w:ind w:right="49"/>
        <w:jc w:val="both"/>
        <w:rPr>
          <w:rFonts w:ascii="Arial" w:eastAsia="DIN Next LT Pro Condensed" w:hAnsi="Arial" w:cs="Arial"/>
          <w:spacing w:val="8"/>
        </w:rPr>
      </w:pPr>
    </w:p>
    <w:p w14:paraId="23B2EF69" w14:textId="10D4234D" w:rsidR="006C22E7" w:rsidRPr="00CA34F5" w:rsidRDefault="006C22E7" w:rsidP="006C22E7">
      <w:pPr>
        <w:spacing w:line="240" w:lineRule="auto"/>
        <w:jc w:val="both"/>
        <w:rPr>
          <w:rFonts w:ascii="Arial" w:hAnsi="Arial" w:cs="Arial"/>
        </w:rPr>
      </w:pPr>
      <w:r w:rsidRPr="00CA34F5">
        <w:rPr>
          <w:rFonts w:ascii="Arial" w:hAnsi="Arial" w:cs="Arial"/>
          <w:b/>
        </w:rPr>
        <w:t>Ingresos por Clasificar</w:t>
      </w:r>
      <w:r w:rsidRPr="00CA34F5">
        <w:rPr>
          <w:rFonts w:ascii="Arial" w:hAnsi="Arial" w:cs="Arial"/>
        </w:rPr>
        <w:t xml:space="preserve"> por $41</w:t>
      </w:r>
      <w:proofErr w:type="gramStart"/>
      <w:r w:rsidRPr="00CA34F5">
        <w:rPr>
          <w:rFonts w:ascii="Arial" w:hAnsi="Arial" w:cs="Arial"/>
        </w:rPr>
        <w:t>,218,828</w:t>
      </w:r>
      <w:proofErr w:type="gramEnd"/>
      <w:r w:rsidRPr="00CA34F5">
        <w:rPr>
          <w:rFonts w:ascii="Arial" w:hAnsi="Arial" w:cs="Arial"/>
        </w:rPr>
        <w:t xml:space="preserve"> depósitos que se etiquetaron como </w:t>
      </w:r>
      <w:r w:rsidR="006B6ED7">
        <w:rPr>
          <w:rFonts w:ascii="Arial" w:hAnsi="Arial" w:cs="Arial"/>
        </w:rPr>
        <w:t xml:space="preserve">no identificados. La desagregación  por vencimiento es </w:t>
      </w:r>
      <w:r w:rsidRPr="00CA34F5">
        <w:rPr>
          <w:rFonts w:ascii="Arial" w:hAnsi="Arial" w:cs="Arial"/>
        </w:rPr>
        <w:t xml:space="preserve"> $2</w:t>
      </w:r>
      <w:r w:rsidR="006B6ED7">
        <w:rPr>
          <w:rFonts w:ascii="Arial" w:hAnsi="Arial" w:cs="Arial"/>
        </w:rPr>
        <w:t>,001,801</w:t>
      </w:r>
      <w:r w:rsidR="009468A9">
        <w:rPr>
          <w:rFonts w:ascii="Arial" w:hAnsi="Arial" w:cs="Arial"/>
        </w:rPr>
        <w:t xml:space="preserve">, </w:t>
      </w:r>
      <w:r w:rsidR="006B6ED7">
        <w:rPr>
          <w:rFonts w:ascii="Arial" w:hAnsi="Arial" w:cs="Arial"/>
        </w:rPr>
        <w:t xml:space="preserve"> a 90 días representa</w:t>
      </w:r>
      <w:r w:rsidRPr="00CA34F5">
        <w:rPr>
          <w:rFonts w:ascii="Arial" w:hAnsi="Arial" w:cs="Arial"/>
        </w:rPr>
        <w:t xml:space="preserve"> el</w:t>
      </w:r>
      <w:r w:rsidR="006B6ED7">
        <w:rPr>
          <w:rFonts w:ascii="Arial" w:hAnsi="Arial" w:cs="Arial"/>
        </w:rPr>
        <w:t xml:space="preserve"> 4.86%; </w:t>
      </w:r>
      <w:r w:rsidR="009468A9">
        <w:rPr>
          <w:rFonts w:ascii="Arial" w:hAnsi="Arial" w:cs="Arial"/>
        </w:rPr>
        <w:t xml:space="preserve"> </w:t>
      </w:r>
      <w:r w:rsidR="006B6ED7">
        <w:rPr>
          <w:rFonts w:ascii="Arial" w:hAnsi="Arial" w:cs="Arial"/>
        </w:rPr>
        <w:t>más $9,620,60</w:t>
      </w:r>
      <w:r w:rsidR="009468A9">
        <w:rPr>
          <w:rFonts w:ascii="Arial" w:hAnsi="Arial" w:cs="Arial"/>
        </w:rPr>
        <w:t>1,</w:t>
      </w:r>
      <w:r w:rsidR="006B6ED7">
        <w:rPr>
          <w:rFonts w:ascii="Arial" w:hAnsi="Arial" w:cs="Arial"/>
        </w:rPr>
        <w:t xml:space="preserve"> </w:t>
      </w:r>
      <w:r w:rsidR="009468A9">
        <w:rPr>
          <w:rFonts w:ascii="Arial" w:hAnsi="Arial" w:cs="Arial"/>
        </w:rPr>
        <w:t xml:space="preserve">a </w:t>
      </w:r>
      <w:r w:rsidR="006B6ED7">
        <w:rPr>
          <w:rFonts w:ascii="Arial" w:hAnsi="Arial" w:cs="Arial"/>
        </w:rPr>
        <w:t>180 días representa el  23.34%;</w:t>
      </w:r>
      <w:r w:rsidRPr="00CA34F5">
        <w:rPr>
          <w:rFonts w:ascii="Arial" w:hAnsi="Arial" w:cs="Arial"/>
        </w:rPr>
        <w:t xml:space="preserve"> </w:t>
      </w:r>
      <w:r w:rsidR="006B6ED7">
        <w:rPr>
          <w:rFonts w:ascii="Arial" w:hAnsi="Arial" w:cs="Arial"/>
        </w:rPr>
        <w:t xml:space="preserve"> más  </w:t>
      </w:r>
      <w:r w:rsidRPr="00CA34F5">
        <w:rPr>
          <w:rFonts w:ascii="Arial" w:hAnsi="Arial" w:cs="Arial"/>
        </w:rPr>
        <w:t>$538,326</w:t>
      </w:r>
      <w:r w:rsidR="009468A9">
        <w:rPr>
          <w:rFonts w:ascii="Arial" w:hAnsi="Arial" w:cs="Arial"/>
        </w:rPr>
        <w:t xml:space="preserve">, </w:t>
      </w:r>
      <w:r w:rsidRPr="00CA34F5">
        <w:rPr>
          <w:rFonts w:ascii="Arial" w:hAnsi="Arial" w:cs="Arial"/>
        </w:rPr>
        <w:t xml:space="preserve"> menor o</w:t>
      </w:r>
      <w:r w:rsidR="006B6ED7">
        <w:rPr>
          <w:rFonts w:ascii="Arial" w:hAnsi="Arial" w:cs="Arial"/>
        </w:rPr>
        <w:t xml:space="preserve"> igual a 365 días representa el </w:t>
      </w:r>
      <w:r w:rsidRPr="00CA34F5">
        <w:rPr>
          <w:rFonts w:ascii="Arial" w:hAnsi="Arial" w:cs="Arial"/>
        </w:rPr>
        <w:t>1.30%</w:t>
      </w:r>
      <w:r w:rsidR="006B6ED7">
        <w:rPr>
          <w:rFonts w:ascii="Arial" w:hAnsi="Arial" w:cs="Arial"/>
        </w:rPr>
        <w:t>;</w:t>
      </w:r>
      <w:r w:rsidRPr="00CA34F5">
        <w:rPr>
          <w:rFonts w:ascii="Arial" w:hAnsi="Arial" w:cs="Arial"/>
        </w:rPr>
        <w:t xml:space="preserve"> </w:t>
      </w:r>
      <w:r w:rsidR="009468A9">
        <w:rPr>
          <w:rFonts w:ascii="Arial" w:hAnsi="Arial" w:cs="Arial"/>
        </w:rPr>
        <w:t xml:space="preserve"> </w:t>
      </w:r>
      <w:r w:rsidRPr="00CA34F5">
        <w:rPr>
          <w:rFonts w:ascii="Arial" w:hAnsi="Arial" w:cs="Arial"/>
        </w:rPr>
        <w:t>y</w:t>
      </w:r>
      <w:r w:rsidR="009468A9">
        <w:rPr>
          <w:rFonts w:ascii="Arial" w:hAnsi="Arial" w:cs="Arial"/>
        </w:rPr>
        <w:t xml:space="preserve">  $29,058,100, </w:t>
      </w:r>
      <w:r w:rsidRPr="00CA34F5">
        <w:rPr>
          <w:rFonts w:ascii="Arial" w:hAnsi="Arial" w:cs="Arial"/>
        </w:rPr>
        <w:t xml:space="preserve">mayor a 365 días </w:t>
      </w:r>
      <w:r w:rsidR="006B6ED7">
        <w:rPr>
          <w:rFonts w:ascii="Arial" w:hAnsi="Arial" w:cs="Arial"/>
        </w:rPr>
        <w:t xml:space="preserve"> representa </w:t>
      </w:r>
      <w:r w:rsidRPr="00CA34F5">
        <w:rPr>
          <w:rFonts w:ascii="Arial" w:hAnsi="Arial" w:cs="Arial"/>
        </w:rPr>
        <w:t>el 70.50%</w:t>
      </w:r>
      <w:r w:rsidR="009468A9">
        <w:rPr>
          <w:rFonts w:ascii="Arial" w:hAnsi="Arial" w:cs="Arial"/>
        </w:rPr>
        <w:t xml:space="preserve">, </w:t>
      </w:r>
      <w:r w:rsidRPr="00CA34F5">
        <w:rPr>
          <w:rFonts w:ascii="Arial" w:hAnsi="Arial" w:cs="Arial"/>
        </w:rPr>
        <w:t xml:space="preserve"> el cual está en proceso de identificación, </w:t>
      </w:r>
      <w:r w:rsidR="009468A9">
        <w:rPr>
          <w:rFonts w:ascii="Arial" w:hAnsi="Arial" w:cs="Arial"/>
        </w:rPr>
        <w:t xml:space="preserve">y corresponde a </w:t>
      </w:r>
      <w:r w:rsidRPr="00CA34F5">
        <w:rPr>
          <w:rFonts w:ascii="Arial" w:hAnsi="Arial" w:cs="Arial"/>
        </w:rPr>
        <w:t>ejercicios anteriores.</w:t>
      </w:r>
    </w:p>
    <w:p w14:paraId="209017AD" w14:textId="30F5FBCF" w:rsidR="006C22E7" w:rsidRPr="00CA34F5" w:rsidRDefault="006C22E7" w:rsidP="006C22E7">
      <w:pPr>
        <w:spacing w:line="240" w:lineRule="auto"/>
        <w:jc w:val="both"/>
        <w:rPr>
          <w:rFonts w:ascii="Arial" w:hAnsi="Arial" w:cs="Arial"/>
        </w:rPr>
      </w:pPr>
      <w:r w:rsidRPr="00CA34F5">
        <w:rPr>
          <w:rFonts w:ascii="Arial" w:hAnsi="Arial" w:cs="Arial"/>
          <w:b/>
        </w:rPr>
        <w:t xml:space="preserve">Recaudación por participar </w:t>
      </w:r>
      <w:r w:rsidR="00CB2330">
        <w:rPr>
          <w:rFonts w:ascii="Arial" w:hAnsi="Arial" w:cs="Arial"/>
        </w:rPr>
        <w:t>por $59</w:t>
      </w:r>
      <w:proofErr w:type="gramStart"/>
      <w:r w:rsidR="00CB2330">
        <w:rPr>
          <w:rFonts w:ascii="Arial" w:hAnsi="Arial" w:cs="Arial"/>
        </w:rPr>
        <w:t>,447,691</w:t>
      </w:r>
      <w:proofErr w:type="gramEnd"/>
      <w:r w:rsidR="00FD30AF">
        <w:rPr>
          <w:rFonts w:ascii="Arial" w:hAnsi="Arial" w:cs="Arial"/>
        </w:rPr>
        <w:t>, c</w:t>
      </w:r>
      <w:r w:rsidRPr="00CA34F5">
        <w:rPr>
          <w:rFonts w:ascii="Arial" w:hAnsi="Arial" w:cs="Arial"/>
        </w:rPr>
        <w:t>orresponde al registro de los incentivos derivados de la colaboración fiscal, autoliquidados en la constancia de recaudación de los ingresos federales coordinados y el monto de los fideicomisos descontados del anticipo de las participaciones mensuales. La des</w:t>
      </w:r>
      <w:r w:rsidR="00CB2330">
        <w:rPr>
          <w:rFonts w:ascii="Arial" w:hAnsi="Arial" w:cs="Arial"/>
        </w:rPr>
        <w:t>agregación por vencimiento es </w:t>
      </w:r>
      <w:r w:rsidRPr="00CA34F5">
        <w:rPr>
          <w:rFonts w:ascii="Arial" w:hAnsi="Arial" w:cs="Arial"/>
        </w:rPr>
        <w:t xml:space="preserve"> $44,</w:t>
      </w:r>
      <w:r w:rsidR="00CB2330">
        <w:rPr>
          <w:rFonts w:ascii="Arial" w:hAnsi="Arial" w:cs="Arial"/>
        </w:rPr>
        <w:t>713,222</w:t>
      </w:r>
      <w:r w:rsidR="00FD30AF">
        <w:rPr>
          <w:rFonts w:ascii="Arial" w:hAnsi="Arial" w:cs="Arial"/>
        </w:rPr>
        <w:t xml:space="preserve">, </w:t>
      </w:r>
      <w:r w:rsidR="00CB2330">
        <w:rPr>
          <w:rFonts w:ascii="Arial" w:hAnsi="Arial" w:cs="Arial"/>
        </w:rPr>
        <w:t xml:space="preserve"> a  90 días, representa el 75.21%; más</w:t>
      </w:r>
      <w:r w:rsidRPr="00CA34F5">
        <w:rPr>
          <w:rFonts w:ascii="Arial" w:hAnsi="Arial" w:cs="Arial"/>
        </w:rPr>
        <w:t xml:space="preserve">  $13,</w:t>
      </w:r>
      <w:r w:rsidR="00CB2330">
        <w:rPr>
          <w:rFonts w:ascii="Arial" w:hAnsi="Arial" w:cs="Arial"/>
        </w:rPr>
        <w:t>052,975</w:t>
      </w:r>
      <w:r w:rsidR="00FD30AF">
        <w:rPr>
          <w:rFonts w:ascii="Arial" w:hAnsi="Arial" w:cs="Arial"/>
        </w:rPr>
        <w:t xml:space="preserve">, </w:t>
      </w:r>
      <w:r w:rsidR="00CB2330">
        <w:rPr>
          <w:rFonts w:ascii="Arial" w:hAnsi="Arial" w:cs="Arial"/>
        </w:rPr>
        <w:t xml:space="preserve"> a 180 días representa el </w:t>
      </w:r>
      <w:r w:rsidRPr="00CA34F5">
        <w:rPr>
          <w:rFonts w:ascii="Arial" w:hAnsi="Arial" w:cs="Arial"/>
        </w:rPr>
        <w:t>21.96%, los cuales se r</w:t>
      </w:r>
      <w:r w:rsidR="00CB2330">
        <w:rPr>
          <w:rFonts w:ascii="Arial" w:hAnsi="Arial" w:cs="Arial"/>
        </w:rPr>
        <w:t>eflejaran en el ejercicio 2022</w:t>
      </w:r>
      <w:r w:rsidR="00FD30AF">
        <w:rPr>
          <w:rFonts w:ascii="Arial" w:hAnsi="Arial" w:cs="Arial"/>
        </w:rPr>
        <w:t xml:space="preserve">, </w:t>
      </w:r>
      <w:r w:rsidR="00CB2330">
        <w:rPr>
          <w:rFonts w:ascii="Arial" w:hAnsi="Arial" w:cs="Arial"/>
        </w:rPr>
        <w:t xml:space="preserve">  más </w:t>
      </w:r>
      <w:r w:rsidRPr="00CA34F5">
        <w:rPr>
          <w:rFonts w:ascii="Arial" w:hAnsi="Arial" w:cs="Arial"/>
        </w:rPr>
        <w:t xml:space="preserve"> $1,681,49</w:t>
      </w:r>
      <w:r w:rsidR="00CB2330">
        <w:rPr>
          <w:rFonts w:ascii="Arial" w:hAnsi="Arial" w:cs="Arial"/>
        </w:rPr>
        <w:t>4</w:t>
      </w:r>
      <w:r w:rsidR="00FD30AF">
        <w:rPr>
          <w:rFonts w:ascii="Arial" w:hAnsi="Arial" w:cs="Arial"/>
        </w:rPr>
        <w:t xml:space="preserve">, </w:t>
      </w:r>
      <w:r w:rsidR="00CB2330">
        <w:rPr>
          <w:rFonts w:ascii="Arial" w:hAnsi="Arial" w:cs="Arial"/>
        </w:rPr>
        <w:t xml:space="preserve"> mayor a 365 días, representa </w:t>
      </w:r>
      <w:r w:rsidRPr="00CA34F5">
        <w:rPr>
          <w:rFonts w:ascii="Arial" w:hAnsi="Arial" w:cs="Arial"/>
        </w:rPr>
        <w:t xml:space="preserve"> el 2.83%, el cual está en pr</w:t>
      </w:r>
      <w:r w:rsidR="00FD30AF">
        <w:rPr>
          <w:rFonts w:ascii="Arial" w:hAnsi="Arial" w:cs="Arial"/>
        </w:rPr>
        <w:t>oceso de depuración y corresponde a</w:t>
      </w:r>
      <w:r w:rsidRPr="00CA34F5">
        <w:rPr>
          <w:rFonts w:ascii="Arial" w:hAnsi="Arial" w:cs="Arial"/>
        </w:rPr>
        <w:t xml:space="preserve"> ejercicios anteriores</w:t>
      </w:r>
    </w:p>
    <w:p w14:paraId="521D8CDF" w14:textId="1B9C6151" w:rsidR="006C22E7" w:rsidRPr="00CA34F5" w:rsidRDefault="006C22E7" w:rsidP="006C22E7">
      <w:pPr>
        <w:spacing w:line="240" w:lineRule="auto"/>
        <w:jc w:val="both"/>
        <w:rPr>
          <w:rFonts w:ascii="Arial" w:hAnsi="Arial" w:cs="Arial"/>
        </w:rPr>
      </w:pPr>
      <w:r w:rsidRPr="00CA34F5">
        <w:rPr>
          <w:rFonts w:ascii="Arial" w:hAnsi="Arial" w:cs="Arial"/>
          <w:b/>
        </w:rPr>
        <w:t>Otros Pasivos circulantes</w:t>
      </w:r>
      <w:r w:rsidRPr="00CA34F5">
        <w:rPr>
          <w:rFonts w:ascii="Arial" w:hAnsi="Arial" w:cs="Arial"/>
        </w:rPr>
        <w:t xml:space="preserve"> por $132,044,732 se integra de la siguiente manera: $125,315,082</w:t>
      </w:r>
      <w:r w:rsidR="0034307F">
        <w:rPr>
          <w:rFonts w:ascii="Arial" w:hAnsi="Arial" w:cs="Arial"/>
        </w:rPr>
        <w:t>,</w:t>
      </w:r>
      <w:r w:rsidRPr="00CA34F5">
        <w:rPr>
          <w:rFonts w:ascii="Arial" w:hAnsi="Arial" w:cs="Arial"/>
        </w:rPr>
        <w:t xml:space="preserve"> </w:t>
      </w:r>
      <w:r w:rsidR="0034307F">
        <w:rPr>
          <w:rFonts w:ascii="Arial" w:hAnsi="Arial" w:cs="Arial"/>
        </w:rPr>
        <w:t xml:space="preserve"> representa el 94.90%,</w:t>
      </w:r>
      <w:r w:rsidR="00761AF4">
        <w:rPr>
          <w:rFonts w:ascii="Arial" w:hAnsi="Arial" w:cs="Arial"/>
        </w:rPr>
        <w:t xml:space="preserve"> </w:t>
      </w:r>
      <w:r w:rsidR="0034307F">
        <w:rPr>
          <w:rFonts w:ascii="Arial" w:hAnsi="Arial" w:cs="Arial"/>
        </w:rPr>
        <w:t xml:space="preserve"> provisiones pendientes de comprobar</w:t>
      </w:r>
      <w:r w:rsidR="00C475C7">
        <w:rPr>
          <w:rFonts w:ascii="Arial" w:hAnsi="Arial" w:cs="Arial"/>
        </w:rPr>
        <w:t xml:space="preserve">, </w:t>
      </w:r>
      <w:r w:rsidR="00761AF4">
        <w:rPr>
          <w:rFonts w:ascii="Arial" w:hAnsi="Arial" w:cs="Arial"/>
        </w:rPr>
        <w:t>a las que se</w:t>
      </w:r>
      <w:r w:rsidR="00C475C7">
        <w:rPr>
          <w:rFonts w:ascii="Arial" w:hAnsi="Arial" w:cs="Arial"/>
        </w:rPr>
        <w:t xml:space="preserve"> dará</w:t>
      </w:r>
      <w:r w:rsidR="0034307F">
        <w:rPr>
          <w:rFonts w:ascii="Arial" w:hAnsi="Arial" w:cs="Arial"/>
        </w:rPr>
        <w:t xml:space="preserve"> seguimiento para</w:t>
      </w:r>
      <w:r w:rsidRPr="00CA34F5">
        <w:rPr>
          <w:rFonts w:ascii="Arial" w:hAnsi="Arial" w:cs="Arial"/>
        </w:rPr>
        <w:t xml:space="preserve"> cancelación en el ejercici</w:t>
      </w:r>
      <w:r w:rsidR="00761AF4">
        <w:rPr>
          <w:rFonts w:ascii="Arial" w:hAnsi="Arial" w:cs="Arial"/>
        </w:rPr>
        <w:t>o 2022;  más $6,729,650</w:t>
      </w:r>
      <w:r w:rsidR="0034307F">
        <w:rPr>
          <w:rFonts w:ascii="Arial" w:hAnsi="Arial" w:cs="Arial"/>
        </w:rPr>
        <w:t>,</w:t>
      </w:r>
      <w:r w:rsidR="00761AF4">
        <w:rPr>
          <w:rFonts w:ascii="Arial" w:hAnsi="Arial" w:cs="Arial"/>
        </w:rPr>
        <w:t xml:space="preserve">  representa el 5.10% y son </w:t>
      </w:r>
      <w:r w:rsidRPr="00CA34F5">
        <w:rPr>
          <w:rFonts w:ascii="Arial" w:hAnsi="Arial" w:cs="Arial"/>
        </w:rPr>
        <w:t>retenciones efectuadas a los trabajadores del Estado de ejercicios anteriores por concepto de compensaciones y pensiones alimenticias, dicho saldo se va amortizando al efectuar el pago la</w:t>
      </w:r>
      <w:r w:rsidR="0034307F">
        <w:rPr>
          <w:rFonts w:ascii="Arial" w:hAnsi="Arial" w:cs="Arial"/>
        </w:rPr>
        <w:t xml:space="preserve"> Dirección de Tesorería mediante</w:t>
      </w:r>
      <w:r w:rsidRPr="00CA34F5">
        <w:rPr>
          <w:rFonts w:ascii="Arial" w:hAnsi="Arial" w:cs="Arial"/>
        </w:rPr>
        <w:t xml:space="preserve"> oficios de solicit</w:t>
      </w:r>
      <w:r w:rsidR="0034307F">
        <w:rPr>
          <w:rFonts w:ascii="Arial" w:hAnsi="Arial" w:cs="Arial"/>
        </w:rPr>
        <w:t>ud</w:t>
      </w:r>
      <w:r w:rsidR="00761AF4">
        <w:rPr>
          <w:rFonts w:ascii="Arial" w:hAnsi="Arial" w:cs="Arial"/>
        </w:rPr>
        <w:t xml:space="preserve">, la desagregación  por </w:t>
      </w:r>
      <w:r w:rsidRPr="00CA34F5">
        <w:rPr>
          <w:rFonts w:ascii="Arial" w:hAnsi="Arial" w:cs="Arial"/>
        </w:rPr>
        <w:t xml:space="preserve">vencimiento </w:t>
      </w:r>
      <w:r w:rsidR="00761AF4">
        <w:rPr>
          <w:rFonts w:ascii="Arial" w:hAnsi="Arial" w:cs="Arial"/>
        </w:rPr>
        <w:t xml:space="preserve">es </w:t>
      </w:r>
      <w:r w:rsidRPr="00CA34F5">
        <w:rPr>
          <w:rFonts w:ascii="Arial" w:hAnsi="Arial" w:cs="Arial"/>
        </w:rPr>
        <w:t>a 90 días.</w:t>
      </w:r>
    </w:p>
    <w:p w14:paraId="4F707C90" w14:textId="77777777" w:rsidR="006C22E7" w:rsidRPr="00CA34F5" w:rsidRDefault="006C22E7" w:rsidP="000A4C31">
      <w:pPr>
        <w:spacing w:after="0" w:line="240" w:lineRule="auto"/>
        <w:ind w:right="49"/>
        <w:jc w:val="both"/>
        <w:rPr>
          <w:rFonts w:ascii="Arial" w:eastAsia="DIN Next LT Pro Condensed" w:hAnsi="Arial" w:cs="Arial"/>
          <w:spacing w:val="8"/>
        </w:rPr>
      </w:pPr>
    </w:p>
    <w:p w14:paraId="3CD89E76" w14:textId="77777777" w:rsidR="009818AD" w:rsidRPr="00CA34F5" w:rsidRDefault="009818AD" w:rsidP="000A4C31">
      <w:pPr>
        <w:spacing w:after="0" w:line="240" w:lineRule="auto"/>
        <w:jc w:val="both"/>
        <w:rPr>
          <w:rFonts w:ascii="Arial" w:hAnsi="Arial" w:cs="Arial"/>
          <w:b/>
          <w:bCs/>
          <w:u w:val="single"/>
          <w:lang w:eastAsia="es-MX"/>
        </w:rPr>
      </w:pPr>
      <w:r w:rsidRPr="00CA34F5">
        <w:rPr>
          <w:rFonts w:ascii="Arial" w:hAnsi="Arial" w:cs="Arial"/>
          <w:b/>
          <w:bCs/>
          <w:u w:val="single"/>
          <w:lang w:eastAsia="es-MX"/>
        </w:rPr>
        <w:t>Cuentas por Pagar a Largo Plazo</w:t>
      </w:r>
    </w:p>
    <w:p w14:paraId="5D43EBEF" w14:textId="77777777" w:rsidR="009818AD" w:rsidRPr="00CA34F5" w:rsidRDefault="009818AD" w:rsidP="000A4C31">
      <w:pPr>
        <w:spacing w:after="0" w:line="240" w:lineRule="auto"/>
        <w:jc w:val="both"/>
        <w:rPr>
          <w:rFonts w:ascii="Arial" w:hAnsi="Arial" w:cs="Arial"/>
          <w:b/>
          <w:bCs/>
          <w:lang w:eastAsia="es-MX"/>
        </w:rPr>
      </w:pPr>
    </w:p>
    <w:p w14:paraId="11BF17AE" w14:textId="77777777" w:rsidR="009818AD" w:rsidRPr="00CA34F5" w:rsidRDefault="009818AD" w:rsidP="000A4C31">
      <w:pPr>
        <w:spacing w:line="240" w:lineRule="auto"/>
        <w:jc w:val="both"/>
        <w:rPr>
          <w:rFonts w:ascii="Arial" w:hAnsi="Arial" w:cs="Arial"/>
          <w:lang w:eastAsia="es-MX"/>
        </w:rPr>
      </w:pPr>
      <w:r w:rsidRPr="00CA34F5">
        <w:rPr>
          <w:rFonts w:ascii="Arial" w:hAnsi="Arial" w:cs="Arial"/>
          <w:lang w:eastAsia="es-MX"/>
        </w:rPr>
        <w:t>No se tiene Cuentas por Pagar a Largo Plazo</w:t>
      </w:r>
    </w:p>
    <w:p w14:paraId="43382A12" w14:textId="77777777" w:rsidR="00215499" w:rsidRDefault="00215499" w:rsidP="000A4C31">
      <w:pPr>
        <w:spacing w:after="0" w:line="240" w:lineRule="auto"/>
        <w:jc w:val="both"/>
        <w:rPr>
          <w:rFonts w:ascii="Arial" w:hAnsi="Arial" w:cs="Arial"/>
          <w:b/>
          <w:bCs/>
          <w:u w:val="single"/>
          <w:lang w:eastAsia="es-MX"/>
        </w:rPr>
      </w:pPr>
    </w:p>
    <w:p w14:paraId="5CB2C54F" w14:textId="77777777" w:rsidR="00215499" w:rsidRDefault="00215499" w:rsidP="000A4C31">
      <w:pPr>
        <w:spacing w:after="0" w:line="240" w:lineRule="auto"/>
        <w:jc w:val="both"/>
        <w:rPr>
          <w:rFonts w:ascii="Arial" w:hAnsi="Arial" w:cs="Arial"/>
          <w:b/>
          <w:bCs/>
          <w:u w:val="single"/>
          <w:lang w:eastAsia="es-MX"/>
        </w:rPr>
      </w:pPr>
    </w:p>
    <w:p w14:paraId="5148608F" w14:textId="77777777" w:rsidR="00215499" w:rsidRDefault="00215499" w:rsidP="000A4C31">
      <w:pPr>
        <w:spacing w:after="0" w:line="240" w:lineRule="auto"/>
        <w:jc w:val="both"/>
        <w:rPr>
          <w:rFonts w:ascii="Arial" w:hAnsi="Arial" w:cs="Arial"/>
          <w:b/>
          <w:bCs/>
          <w:u w:val="single"/>
          <w:lang w:eastAsia="es-MX"/>
        </w:rPr>
      </w:pPr>
    </w:p>
    <w:p w14:paraId="643AFEE7" w14:textId="77777777" w:rsidR="009818AD" w:rsidRPr="00CA34F5" w:rsidRDefault="009818AD" w:rsidP="000A4C31">
      <w:pPr>
        <w:spacing w:after="0" w:line="240" w:lineRule="auto"/>
        <w:jc w:val="both"/>
        <w:rPr>
          <w:rFonts w:ascii="Arial" w:hAnsi="Arial" w:cs="Arial"/>
          <w:b/>
          <w:bCs/>
          <w:u w:val="single"/>
          <w:lang w:eastAsia="es-MX"/>
        </w:rPr>
      </w:pPr>
      <w:r w:rsidRPr="00CA34F5">
        <w:rPr>
          <w:rFonts w:ascii="Arial" w:hAnsi="Arial" w:cs="Arial"/>
          <w:b/>
          <w:bCs/>
          <w:u w:val="single"/>
          <w:lang w:eastAsia="es-MX"/>
        </w:rPr>
        <w:lastRenderedPageBreak/>
        <w:t xml:space="preserve">Documentos por Pagar a Largo Plazo </w:t>
      </w:r>
    </w:p>
    <w:p w14:paraId="4651D1D6" w14:textId="77777777" w:rsidR="009818AD" w:rsidRPr="00CA34F5" w:rsidRDefault="009818AD" w:rsidP="000A4C31">
      <w:pPr>
        <w:spacing w:after="0" w:line="240" w:lineRule="auto"/>
        <w:jc w:val="both"/>
        <w:rPr>
          <w:rFonts w:ascii="Arial" w:hAnsi="Arial" w:cs="Arial"/>
          <w:b/>
          <w:bCs/>
          <w:lang w:eastAsia="es-MX"/>
        </w:rPr>
      </w:pPr>
    </w:p>
    <w:p w14:paraId="260ABEF9" w14:textId="3B9C29EF" w:rsidR="009818AD" w:rsidRPr="00CA34F5" w:rsidRDefault="00444FDF" w:rsidP="000A4C31">
      <w:pPr>
        <w:spacing w:line="240" w:lineRule="auto"/>
        <w:jc w:val="both"/>
        <w:rPr>
          <w:rFonts w:ascii="Arial" w:hAnsi="Arial" w:cs="Arial"/>
          <w:lang w:eastAsia="es-MX"/>
        </w:rPr>
      </w:pPr>
      <w:r w:rsidRPr="00CA34F5">
        <w:rPr>
          <w:rFonts w:ascii="Arial" w:hAnsi="Arial" w:cs="Arial"/>
          <w:lang w:eastAsia="es-MX"/>
        </w:rPr>
        <w:t>No se tiene</w:t>
      </w:r>
      <w:r w:rsidR="009818AD" w:rsidRPr="00CA34F5">
        <w:rPr>
          <w:rFonts w:ascii="Arial" w:hAnsi="Arial" w:cs="Arial"/>
          <w:lang w:eastAsia="es-MX"/>
        </w:rPr>
        <w:t xml:space="preserve"> Documentos por Pagar a Largo Plazo</w:t>
      </w:r>
    </w:p>
    <w:p w14:paraId="332BCB93" w14:textId="77777777" w:rsidR="00B60FFA" w:rsidRPr="00CA34F5" w:rsidRDefault="00B60FFA" w:rsidP="000A4C31">
      <w:pPr>
        <w:spacing w:after="0" w:line="240" w:lineRule="auto"/>
        <w:jc w:val="both"/>
        <w:rPr>
          <w:rFonts w:ascii="Arial" w:hAnsi="Arial" w:cs="Arial"/>
          <w:b/>
          <w:bCs/>
          <w:u w:val="single"/>
          <w:lang w:eastAsia="es-MX"/>
        </w:rPr>
      </w:pPr>
    </w:p>
    <w:p w14:paraId="60AD2743" w14:textId="77777777" w:rsidR="00215499" w:rsidRDefault="00215499" w:rsidP="00FC2CE3">
      <w:pPr>
        <w:spacing w:after="0" w:line="240" w:lineRule="auto"/>
        <w:jc w:val="both"/>
        <w:rPr>
          <w:rFonts w:ascii="Arial" w:hAnsi="Arial" w:cs="Arial"/>
          <w:b/>
          <w:bCs/>
          <w:u w:val="single"/>
          <w:lang w:eastAsia="es-MX"/>
        </w:rPr>
      </w:pPr>
    </w:p>
    <w:p w14:paraId="34411C64" w14:textId="3826E046" w:rsidR="00D54E55" w:rsidRPr="00CA34F5" w:rsidRDefault="009818AD" w:rsidP="00FC2CE3">
      <w:pPr>
        <w:spacing w:after="0" w:line="240" w:lineRule="auto"/>
        <w:jc w:val="both"/>
        <w:rPr>
          <w:rFonts w:ascii="Arial" w:hAnsi="Arial" w:cs="Arial"/>
          <w:b/>
          <w:bCs/>
          <w:u w:val="single"/>
          <w:lang w:eastAsia="es-MX"/>
        </w:rPr>
      </w:pPr>
      <w:r w:rsidRPr="00CA34F5">
        <w:rPr>
          <w:rFonts w:ascii="Arial" w:hAnsi="Arial" w:cs="Arial"/>
          <w:b/>
          <w:bCs/>
          <w:u w:val="single"/>
          <w:lang w:eastAsia="es-MX"/>
        </w:rPr>
        <w:t xml:space="preserve">Deuda Pública </w:t>
      </w:r>
      <w:r w:rsidR="00AE2D15" w:rsidRPr="00CA34F5">
        <w:rPr>
          <w:rFonts w:ascii="Arial" w:hAnsi="Arial" w:cs="Arial"/>
          <w:b/>
          <w:bCs/>
          <w:u w:val="single"/>
          <w:lang w:eastAsia="es-MX"/>
        </w:rPr>
        <w:t>a Largo Plazo</w:t>
      </w:r>
      <w:r w:rsidR="000D2EAC" w:rsidRPr="00CA34F5">
        <w:rPr>
          <w:rFonts w:ascii="Arial" w:hAnsi="Arial" w:cs="Arial"/>
          <w:b/>
          <w:bCs/>
          <w:u w:val="single"/>
          <w:lang w:eastAsia="es-MX"/>
        </w:rPr>
        <w:t xml:space="preserve">   </w:t>
      </w:r>
    </w:p>
    <w:p w14:paraId="4676AE21" w14:textId="77777777" w:rsidR="00FC2CE3" w:rsidRPr="00CA34F5" w:rsidRDefault="00FC2CE3" w:rsidP="00FC2CE3">
      <w:pPr>
        <w:spacing w:after="0" w:line="240" w:lineRule="auto"/>
        <w:jc w:val="both"/>
        <w:rPr>
          <w:rFonts w:ascii="Arial" w:hAnsi="Arial" w:cs="Arial"/>
        </w:rPr>
      </w:pPr>
    </w:p>
    <w:p w14:paraId="5F9CA3B6" w14:textId="73E28FAD" w:rsidR="009818AD" w:rsidRPr="00CA34F5" w:rsidRDefault="000D2EAC" w:rsidP="00D54E55">
      <w:pPr>
        <w:spacing w:line="240" w:lineRule="auto"/>
        <w:jc w:val="both"/>
        <w:rPr>
          <w:rFonts w:ascii="Arial" w:hAnsi="Arial" w:cs="Arial"/>
          <w:bCs/>
          <w:lang w:eastAsia="es-MX"/>
        </w:rPr>
      </w:pPr>
      <w:r w:rsidRPr="00CA34F5">
        <w:rPr>
          <w:rFonts w:ascii="Arial" w:hAnsi="Arial" w:cs="Arial"/>
          <w:bCs/>
          <w:lang w:eastAsia="es-MX"/>
        </w:rPr>
        <w:t>El saldo de</w:t>
      </w:r>
      <w:r w:rsidR="00D54E55" w:rsidRPr="00CA34F5">
        <w:rPr>
          <w:rFonts w:ascii="Arial" w:hAnsi="Arial" w:cs="Arial"/>
          <w:bCs/>
          <w:lang w:eastAsia="es-MX"/>
        </w:rPr>
        <w:t xml:space="preserve"> este rubro</w:t>
      </w:r>
      <w:r w:rsidR="00444FDF" w:rsidRPr="00CA34F5">
        <w:rPr>
          <w:rFonts w:ascii="Arial" w:hAnsi="Arial" w:cs="Arial"/>
          <w:bCs/>
          <w:lang w:eastAsia="es-MX"/>
        </w:rPr>
        <w:t xml:space="preserve"> es</w:t>
      </w:r>
      <w:r w:rsidR="009818AD" w:rsidRPr="00CA34F5">
        <w:rPr>
          <w:rFonts w:ascii="Arial" w:hAnsi="Arial" w:cs="Arial"/>
          <w:bCs/>
          <w:lang w:eastAsia="es-MX"/>
        </w:rPr>
        <w:t xml:space="preserve"> </w:t>
      </w:r>
      <w:r w:rsidR="009818AD" w:rsidRPr="00CA34F5">
        <w:rPr>
          <w:rFonts w:ascii="Arial" w:hAnsi="Arial" w:cs="Arial"/>
          <w:b/>
          <w:bCs/>
          <w:lang w:eastAsia="es-MX"/>
        </w:rPr>
        <w:t>$</w:t>
      </w:r>
      <w:r w:rsidRPr="00CA34F5">
        <w:rPr>
          <w:rFonts w:ascii="Arial" w:eastAsia="Times New Roman" w:hAnsi="Arial" w:cs="Arial"/>
          <w:b/>
          <w:color w:val="000000"/>
          <w:lang w:eastAsia="es-MX"/>
        </w:rPr>
        <w:t>5</w:t>
      </w:r>
      <w:proofErr w:type="gramStart"/>
      <w:r w:rsidRPr="00CA34F5">
        <w:rPr>
          <w:rFonts w:ascii="Arial" w:eastAsia="Times New Roman" w:hAnsi="Arial" w:cs="Arial"/>
          <w:b/>
          <w:color w:val="000000"/>
          <w:lang w:eastAsia="es-MX"/>
        </w:rPr>
        <w:t>,606,556,377</w:t>
      </w:r>
      <w:proofErr w:type="gramEnd"/>
      <w:r w:rsidRPr="00CA34F5">
        <w:rPr>
          <w:rFonts w:ascii="Arial" w:eastAsia="Times New Roman" w:hAnsi="Arial" w:cs="Arial"/>
          <w:b/>
          <w:color w:val="000000"/>
          <w:lang w:eastAsia="es-MX"/>
        </w:rPr>
        <w:t xml:space="preserve"> </w:t>
      </w:r>
      <w:r w:rsidR="009818AD" w:rsidRPr="00CA34F5">
        <w:rPr>
          <w:rFonts w:ascii="Arial" w:hAnsi="Arial" w:cs="Arial"/>
          <w:bCs/>
          <w:lang w:eastAsia="es-MX"/>
        </w:rPr>
        <w:t>detallados en las No</w:t>
      </w:r>
      <w:r w:rsidRPr="00CA34F5">
        <w:rPr>
          <w:rFonts w:ascii="Arial" w:hAnsi="Arial" w:cs="Arial"/>
          <w:bCs/>
          <w:lang w:eastAsia="es-MX"/>
        </w:rPr>
        <w:t xml:space="preserve">tas de Gestión Administrativa. </w:t>
      </w:r>
      <w:r w:rsidR="00FA61D9" w:rsidRPr="00CA34F5">
        <w:rPr>
          <w:rFonts w:ascii="Arial" w:hAnsi="Arial" w:cs="Arial"/>
          <w:bCs/>
          <w:lang w:eastAsia="es-MX"/>
        </w:rPr>
        <w:t>E</w:t>
      </w:r>
      <w:r w:rsidRPr="00CA34F5">
        <w:rPr>
          <w:rFonts w:ascii="Arial" w:hAnsi="Arial" w:cs="Arial"/>
          <w:bCs/>
          <w:lang w:eastAsia="es-MX"/>
        </w:rPr>
        <w:t>s el global de los vencimientos posteriores al año 2022.</w:t>
      </w:r>
    </w:p>
    <w:p w14:paraId="31F2073E" w14:textId="77777777" w:rsidR="00215499" w:rsidRDefault="00215499" w:rsidP="00F544F2">
      <w:pPr>
        <w:jc w:val="both"/>
        <w:rPr>
          <w:rFonts w:ascii="Arial" w:hAnsi="Arial" w:cs="Arial"/>
          <w:b/>
          <w:bCs/>
          <w:u w:val="single"/>
          <w:lang w:eastAsia="es-MX"/>
        </w:rPr>
      </w:pPr>
    </w:p>
    <w:p w14:paraId="17415D41" w14:textId="0B696062" w:rsidR="009818AD" w:rsidRPr="00CA34F5" w:rsidRDefault="009818AD" w:rsidP="00F544F2">
      <w:pPr>
        <w:jc w:val="both"/>
        <w:rPr>
          <w:rFonts w:ascii="Arial" w:hAnsi="Arial" w:cs="Arial"/>
          <w:b/>
          <w:bCs/>
          <w:u w:val="single"/>
          <w:lang w:eastAsia="es-MX"/>
        </w:rPr>
      </w:pPr>
      <w:r w:rsidRPr="00CA34F5">
        <w:rPr>
          <w:rFonts w:ascii="Arial" w:hAnsi="Arial" w:cs="Arial"/>
          <w:b/>
          <w:bCs/>
          <w:u w:val="single"/>
          <w:lang w:eastAsia="es-MX"/>
        </w:rPr>
        <w:t>Pasivos Diferidos a Largo Plazo</w:t>
      </w:r>
    </w:p>
    <w:p w14:paraId="41A33BD0" w14:textId="71018BB0" w:rsidR="009818AD" w:rsidRPr="00CA34F5" w:rsidRDefault="009818AD" w:rsidP="000A4C31">
      <w:pPr>
        <w:spacing w:before="240" w:after="0" w:line="240" w:lineRule="auto"/>
        <w:jc w:val="both"/>
        <w:rPr>
          <w:rFonts w:ascii="Arial" w:hAnsi="Arial" w:cs="Arial"/>
          <w:lang w:eastAsia="es-MX"/>
        </w:rPr>
      </w:pPr>
      <w:r w:rsidRPr="00CA34F5">
        <w:rPr>
          <w:rFonts w:ascii="Arial" w:hAnsi="Arial" w:cs="Arial"/>
          <w:lang w:eastAsia="es-MX"/>
        </w:rPr>
        <w:t>No</w:t>
      </w:r>
      <w:r w:rsidR="00F544F2" w:rsidRPr="00CA34F5">
        <w:rPr>
          <w:rFonts w:ascii="Arial" w:hAnsi="Arial" w:cs="Arial"/>
          <w:lang w:eastAsia="es-MX"/>
        </w:rPr>
        <w:t xml:space="preserve"> se tiene</w:t>
      </w:r>
      <w:r w:rsidR="00444FDF" w:rsidRPr="00CA34F5">
        <w:rPr>
          <w:rFonts w:ascii="Arial" w:hAnsi="Arial" w:cs="Arial"/>
          <w:lang w:eastAsia="es-MX"/>
        </w:rPr>
        <w:t xml:space="preserve"> Pasivos </w:t>
      </w:r>
      <w:r w:rsidR="00F544F2" w:rsidRPr="00CA34F5">
        <w:rPr>
          <w:rFonts w:ascii="Arial" w:hAnsi="Arial" w:cs="Arial"/>
          <w:lang w:eastAsia="es-MX"/>
        </w:rPr>
        <w:t>Diferido</w:t>
      </w:r>
      <w:r w:rsidR="00444FDF" w:rsidRPr="00CA34F5">
        <w:rPr>
          <w:rFonts w:ascii="Arial" w:hAnsi="Arial" w:cs="Arial"/>
          <w:lang w:eastAsia="es-MX"/>
        </w:rPr>
        <w:t>s</w:t>
      </w:r>
      <w:r w:rsidR="00F544F2" w:rsidRPr="00CA34F5">
        <w:rPr>
          <w:rFonts w:ascii="Arial" w:hAnsi="Arial" w:cs="Arial"/>
          <w:lang w:eastAsia="es-MX"/>
        </w:rPr>
        <w:t> a Larg</w:t>
      </w:r>
      <w:r w:rsidRPr="00CA34F5">
        <w:rPr>
          <w:rFonts w:ascii="Arial" w:hAnsi="Arial" w:cs="Arial"/>
          <w:lang w:eastAsia="es-MX"/>
        </w:rPr>
        <w:t>o Plazo</w:t>
      </w:r>
    </w:p>
    <w:p w14:paraId="2D0CA147" w14:textId="77777777" w:rsidR="00215499" w:rsidRDefault="00215499" w:rsidP="000A4C31">
      <w:pPr>
        <w:spacing w:before="240" w:line="240" w:lineRule="auto"/>
        <w:jc w:val="both"/>
        <w:rPr>
          <w:rFonts w:ascii="Arial" w:hAnsi="Arial" w:cs="Arial"/>
          <w:b/>
          <w:u w:val="single"/>
        </w:rPr>
      </w:pPr>
    </w:p>
    <w:p w14:paraId="4EBA00D4" w14:textId="03FCCB6E" w:rsidR="00943962" w:rsidRPr="00CA34F5" w:rsidRDefault="00943962" w:rsidP="000A4C31">
      <w:pPr>
        <w:spacing w:before="240" w:line="240" w:lineRule="auto"/>
        <w:jc w:val="both"/>
        <w:rPr>
          <w:rFonts w:ascii="Arial" w:hAnsi="Arial" w:cs="Arial"/>
          <w:b/>
          <w:u w:val="single"/>
        </w:rPr>
      </w:pPr>
      <w:r w:rsidRPr="00CA34F5">
        <w:rPr>
          <w:rFonts w:ascii="Arial" w:hAnsi="Arial" w:cs="Arial"/>
          <w:b/>
          <w:u w:val="single"/>
        </w:rPr>
        <w:t>Fondos y Bienes de Terceros en Garantía y/o Adminis</w:t>
      </w:r>
      <w:r w:rsidR="00C479BA" w:rsidRPr="00CA34F5">
        <w:rPr>
          <w:rFonts w:ascii="Arial" w:hAnsi="Arial" w:cs="Arial"/>
          <w:b/>
          <w:u w:val="single"/>
        </w:rPr>
        <w:t>tración a Largo Plazo</w:t>
      </w:r>
    </w:p>
    <w:p w14:paraId="08DE4C18" w14:textId="0C4D7BD6" w:rsidR="007C004E" w:rsidRPr="00CA34F5" w:rsidRDefault="00ED1067" w:rsidP="007C004E">
      <w:pPr>
        <w:spacing w:line="240" w:lineRule="auto"/>
        <w:jc w:val="both"/>
        <w:rPr>
          <w:rFonts w:ascii="Arial" w:hAnsi="Arial" w:cs="Arial"/>
        </w:rPr>
      </w:pPr>
      <w:r w:rsidRPr="00CA34F5">
        <w:rPr>
          <w:rFonts w:ascii="Arial" w:hAnsi="Arial" w:cs="Arial"/>
        </w:rPr>
        <w:t xml:space="preserve">El saldo de este rubro es </w:t>
      </w:r>
      <w:r w:rsidRPr="00CA34F5">
        <w:rPr>
          <w:rFonts w:ascii="Arial" w:hAnsi="Arial" w:cs="Arial"/>
          <w:b/>
        </w:rPr>
        <w:t>$3,200</w:t>
      </w:r>
      <w:r w:rsidRPr="00CA34F5">
        <w:rPr>
          <w:rFonts w:ascii="Arial" w:hAnsi="Arial" w:cs="Arial"/>
        </w:rPr>
        <w:t xml:space="preserve"> y </w:t>
      </w:r>
      <w:r w:rsidR="007C004E" w:rsidRPr="00CA34F5">
        <w:rPr>
          <w:rFonts w:ascii="Arial" w:hAnsi="Arial" w:cs="Arial"/>
        </w:rPr>
        <w:t>corresponde a averiguaciones previas solicitadas por SEABA.</w:t>
      </w:r>
    </w:p>
    <w:p w14:paraId="5893ECC5" w14:textId="77777777" w:rsidR="00215499" w:rsidRDefault="00215499" w:rsidP="000A4C31">
      <w:pPr>
        <w:spacing w:before="240" w:after="0" w:line="240" w:lineRule="auto"/>
        <w:jc w:val="both"/>
        <w:rPr>
          <w:rFonts w:ascii="Arial" w:hAnsi="Arial" w:cs="Arial"/>
          <w:b/>
          <w:bCs/>
          <w:u w:val="single"/>
          <w:lang w:eastAsia="es-MX"/>
        </w:rPr>
      </w:pPr>
    </w:p>
    <w:p w14:paraId="648F8AB6" w14:textId="77777777" w:rsidR="009818AD" w:rsidRPr="00CA34F5" w:rsidRDefault="009818AD" w:rsidP="000A4C31">
      <w:pPr>
        <w:spacing w:before="240" w:after="0" w:line="240" w:lineRule="auto"/>
        <w:jc w:val="both"/>
        <w:rPr>
          <w:rFonts w:ascii="Arial" w:hAnsi="Arial" w:cs="Arial"/>
          <w:b/>
          <w:bCs/>
          <w:u w:val="single"/>
          <w:lang w:eastAsia="es-MX"/>
        </w:rPr>
      </w:pPr>
      <w:r w:rsidRPr="00CA34F5">
        <w:rPr>
          <w:rFonts w:ascii="Arial" w:hAnsi="Arial" w:cs="Arial"/>
          <w:b/>
          <w:bCs/>
          <w:u w:val="single"/>
          <w:lang w:eastAsia="es-MX"/>
        </w:rPr>
        <w:t>Provisiones a Largo Plazo</w:t>
      </w:r>
    </w:p>
    <w:p w14:paraId="71C955F6" w14:textId="77777777" w:rsidR="009818AD" w:rsidRPr="00CA34F5" w:rsidRDefault="009818AD" w:rsidP="000A4C31">
      <w:pPr>
        <w:spacing w:before="240" w:line="240" w:lineRule="auto"/>
        <w:jc w:val="both"/>
        <w:rPr>
          <w:rFonts w:ascii="Arial" w:hAnsi="Arial" w:cs="Arial"/>
          <w:lang w:eastAsia="es-MX"/>
        </w:rPr>
      </w:pPr>
      <w:r w:rsidRPr="00CA34F5">
        <w:rPr>
          <w:rFonts w:ascii="Arial" w:hAnsi="Arial" w:cs="Arial"/>
          <w:lang w:eastAsia="es-MX"/>
        </w:rPr>
        <w:t>No se tiene Provisiones a Largo Plazo.</w:t>
      </w:r>
    </w:p>
    <w:p w14:paraId="6358E548" w14:textId="77777777" w:rsidR="00444FDF" w:rsidRPr="00CA34F5" w:rsidRDefault="00444FDF" w:rsidP="000A4C31">
      <w:pPr>
        <w:spacing w:after="0" w:line="240" w:lineRule="auto"/>
        <w:jc w:val="left"/>
        <w:rPr>
          <w:rFonts w:ascii="Arial" w:hAnsi="Arial" w:cs="Arial"/>
          <w:b/>
          <w:bCs/>
          <w:lang w:eastAsia="es-MX"/>
        </w:rPr>
      </w:pPr>
    </w:p>
    <w:p w14:paraId="3DEF2273" w14:textId="77777777" w:rsidR="00215499" w:rsidRDefault="00215499" w:rsidP="000A4C31">
      <w:pPr>
        <w:spacing w:after="0" w:line="240" w:lineRule="auto"/>
        <w:jc w:val="left"/>
        <w:rPr>
          <w:rFonts w:ascii="Arial" w:hAnsi="Arial" w:cs="Arial"/>
          <w:b/>
          <w:bCs/>
          <w:lang w:eastAsia="es-MX"/>
        </w:rPr>
      </w:pPr>
    </w:p>
    <w:p w14:paraId="03F24B16" w14:textId="16BF10E5" w:rsidR="00040AD1" w:rsidRPr="00CA34F5" w:rsidRDefault="00040AD1" w:rsidP="00215499">
      <w:pPr>
        <w:spacing w:after="0" w:line="240" w:lineRule="auto"/>
        <w:jc w:val="left"/>
        <w:rPr>
          <w:rFonts w:ascii="Arial" w:hAnsi="Arial" w:cs="Arial"/>
          <w:b/>
          <w:bCs/>
          <w:lang w:eastAsia="es-MX"/>
        </w:rPr>
      </w:pPr>
      <w:r w:rsidRPr="00CA34F5">
        <w:rPr>
          <w:rFonts w:ascii="Arial" w:hAnsi="Arial" w:cs="Arial"/>
          <w:b/>
          <w:bCs/>
          <w:lang w:eastAsia="es-MX"/>
        </w:rPr>
        <w:t xml:space="preserve">II) </w:t>
      </w:r>
      <w:r w:rsidR="001D7B1C" w:rsidRPr="00CA34F5">
        <w:rPr>
          <w:rFonts w:ascii="Arial" w:hAnsi="Arial" w:cs="Arial"/>
          <w:b/>
          <w:bCs/>
          <w:lang w:eastAsia="es-MX"/>
        </w:rPr>
        <w:t>NOTAS AL ESTADO DE ACTIVIDADES</w:t>
      </w:r>
    </w:p>
    <w:p w14:paraId="23B8B785" w14:textId="77777777" w:rsidR="0000372E" w:rsidRPr="00CA34F5" w:rsidRDefault="0000372E" w:rsidP="000A4C31">
      <w:pPr>
        <w:spacing w:after="0" w:line="240" w:lineRule="auto"/>
        <w:jc w:val="left"/>
        <w:rPr>
          <w:rFonts w:ascii="Arial" w:hAnsi="Arial" w:cs="Arial"/>
          <w:b/>
          <w:bCs/>
          <w:lang w:eastAsia="es-MX"/>
        </w:rPr>
      </w:pPr>
    </w:p>
    <w:p w14:paraId="2774A799" w14:textId="1A97BAA9" w:rsidR="001F0404" w:rsidRPr="00CA34F5" w:rsidRDefault="0000372E" w:rsidP="001F0404">
      <w:pPr>
        <w:jc w:val="both"/>
        <w:rPr>
          <w:rFonts w:ascii="Arial" w:eastAsia="Times New Roman" w:hAnsi="Arial" w:cs="Arial"/>
          <w:b/>
          <w:color w:val="000000"/>
          <w:u w:val="single"/>
          <w:lang w:eastAsia="es-MX"/>
        </w:rPr>
      </w:pPr>
      <w:r w:rsidRPr="00CA34F5">
        <w:rPr>
          <w:rFonts w:ascii="Arial" w:hAnsi="Arial" w:cs="Arial"/>
          <w:b/>
          <w:bCs/>
          <w:u w:val="single"/>
          <w:lang w:eastAsia="es-MX"/>
        </w:rPr>
        <w:t>Ingresos y Otros Beneficios</w:t>
      </w:r>
      <w:r w:rsidR="001F0404" w:rsidRPr="00CA34F5">
        <w:rPr>
          <w:rFonts w:ascii="Arial" w:hAnsi="Arial" w:cs="Arial"/>
          <w:b/>
          <w:bCs/>
          <w:u w:val="single"/>
          <w:lang w:eastAsia="es-MX"/>
        </w:rPr>
        <w:t xml:space="preserve"> $</w:t>
      </w:r>
      <w:r w:rsidR="00DB47AD" w:rsidRPr="00CA34F5">
        <w:rPr>
          <w:rFonts w:ascii="Arial" w:eastAsia="Times New Roman" w:hAnsi="Arial" w:cs="Arial"/>
          <w:b/>
          <w:color w:val="000000"/>
          <w:u w:val="single"/>
          <w:lang w:eastAsia="es-MX"/>
        </w:rPr>
        <w:t>57</w:t>
      </w:r>
      <w:proofErr w:type="gramStart"/>
      <w:r w:rsidR="00DB47AD" w:rsidRPr="00CA34F5">
        <w:rPr>
          <w:rFonts w:ascii="Arial" w:eastAsia="Times New Roman" w:hAnsi="Arial" w:cs="Arial"/>
          <w:b/>
          <w:color w:val="000000"/>
          <w:u w:val="single"/>
          <w:lang w:eastAsia="es-MX"/>
        </w:rPr>
        <w:t>,342,821,534</w:t>
      </w:r>
      <w:proofErr w:type="gramEnd"/>
    </w:p>
    <w:p w14:paraId="2F559927" w14:textId="38967CE9" w:rsidR="00DF420B" w:rsidRPr="00CA34F5" w:rsidRDefault="00DF420B" w:rsidP="009926F5">
      <w:pPr>
        <w:spacing w:line="240" w:lineRule="auto"/>
        <w:jc w:val="both"/>
        <w:rPr>
          <w:rFonts w:ascii="Arial" w:hAnsi="Arial" w:cs="Arial"/>
        </w:rPr>
      </w:pPr>
    </w:p>
    <w:p w14:paraId="5C0EAC38" w14:textId="3D1FAE69" w:rsidR="00655220" w:rsidRPr="00CA34F5" w:rsidRDefault="00655220" w:rsidP="000A4C31">
      <w:pPr>
        <w:spacing w:before="240" w:after="0" w:line="240" w:lineRule="auto"/>
        <w:jc w:val="both"/>
        <w:rPr>
          <w:rFonts w:ascii="Arial" w:hAnsi="Arial" w:cs="Arial"/>
          <w:b/>
          <w:bCs/>
          <w:lang w:eastAsia="es-MX"/>
        </w:rPr>
      </w:pPr>
      <w:r w:rsidRPr="00CA34F5">
        <w:rPr>
          <w:rFonts w:ascii="Arial" w:hAnsi="Arial" w:cs="Arial"/>
          <w:b/>
          <w:bCs/>
          <w:lang w:eastAsia="es-MX"/>
        </w:rPr>
        <w:t xml:space="preserve">Ingresos de Gestión </w:t>
      </w:r>
      <w:r w:rsidR="00A07028" w:rsidRPr="00CA34F5">
        <w:rPr>
          <w:rFonts w:ascii="Arial" w:hAnsi="Arial" w:cs="Arial"/>
          <w:b/>
          <w:bCs/>
          <w:lang w:eastAsia="es-MX"/>
        </w:rPr>
        <w:t xml:space="preserve"> $</w:t>
      </w:r>
      <w:r w:rsidR="00153603" w:rsidRPr="00CA34F5">
        <w:rPr>
          <w:rFonts w:ascii="Arial" w:hAnsi="Arial" w:cs="Arial"/>
          <w:b/>
          <w:bCs/>
          <w:lang w:eastAsia="es-MX"/>
        </w:rPr>
        <w:t>3</w:t>
      </w:r>
      <w:proofErr w:type="gramStart"/>
      <w:r w:rsidR="00153603" w:rsidRPr="00CA34F5">
        <w:rPr>
          <w:rFonts w:ascii="Arial" w:hAnsi="Arial" w:cs="Arial"/>
          <w:b/>
          <w:bCs/>
          <w:lang w:eastAsia="es-MX"/>
        </w:rPr>
        <w:t>,959,724,578</w:t>
      </w:r>
      <w:proofErr w:type="gramEnd"/>
    </w:p>
    <w:p w14:paraId="5FF1228D" w14:textId="77777777" w:rsidR="00015407" w:rsidRPr="00CA34F5" w:rsidRDefault="00655220" w:rsidP="000A4C31">
      <w:pPr>
        <w:tabs>
          <w:tab w:val="left" w:pos="6163"/>
        </w:tabs>
        <w:spacing w:after="0" w:line="240" w:lineRule="auto"/>
        <w:jc w:val="both"/>
        <w:rPr>
          <w:rFonts w:ascii="Arial" w:hAnsi="Arial" w:cs="Arial"/>
        </w:rPr>
      </w:pPr>
      <w:r w:rsidRPr="00CA34F5">
        <w:rPr>
          <w:rFonts w:ascii="Arial" w:hAnsi="Arial" w:cs="Arial"/>
        </w:rPr>
        <w:t>Provienen de la recaudación propia del Estado, cuyo objetivo principal es financiar los servicios y obras públicas que requiere la población y los gastos de operación y administrativos generados por las dependencias y órganos estatales.</w:t>
      </w:r>
    </w:p>
    <w:p w14:paraId="6AFBE662" w14:textId="77777777" w:rsidR="00153603" w:rsidRDefault="00153603" w:rsidP="000A4C31">
      <w:pPr>
        <w:tabs>
          <w:tab w:val="left" w:pos="6163"/>
        </w:tabs>
        <w:spacing w:after="0" w:line="240" w:lineRule="auto"/>
        <w:jc w:val="both"/>
        <w:rPr>
          <w:rFonts w:ascii="Arial" w:hAnsi="Arial" w:cs="Arial"/>
        </w:rPr>
      </w:pPr>
    </w:p>
    <w:p w14:paraId="2D77F7EF" w14:textId="77777777" w:rsidR="00E743F4" w:rsidRPr="00CA34F5" w:rsidRDefault="00E743F4" w:rsidP="000A4C31">
      <w:pPr>
        <w:tabs>
          <w:tab w:val="left" w:pos="6163"/>
        </w:tabs>
        <w:spacing w:after="0" w:line="240" w:lineRule="auto"/>
        <w:jc w:val="both"/>
        <w:rPr>
          <w:rFonts w:ascii="Arial" w:hAnsi="Arial" w:cs="Arial"/>
        </w:rPr>
      </w:pPr>
    </w:p>
    <w:tbl>
      <w:tblPr>
        <w:tblW w:w="9346" w:type="dxa"/>
        <w:jc w:val="center"/>
        <w:tblCellMar>
          <w:left w:w="70" w:type="dxa"/>
          <w:right w:w="70" w:type="dxa"/>
        </w:tblCellMar>
        <w:tblLook w:val="04A0" w:firstRow="1" w:lastRow="0" w:firstColumn="1" w:lastColumn="0" w:noHBand="0" w:noVBand="1"/>
      </w:tblPr>
      <w:tblGrid>
        <w:gridCol w:w="4306"/>
        <w:gridCol w:w="1547"/>
        <w:gridCol w:w="1547"/>
        <w:gridCol w:w="1946"/>
      </w:tblGrid>
      <w:tr w:rsidR="00153603" w:rsidRPr="00CA34F5" w14:paraId="3329DD98" w14:textId="77777777" w:rsidTr="00045AA2">
        <w:trPr>
          <w:trHeight w:val="570"/>
          <w:jc w:val="center"/>
        </w:trPr>
        <w:tc>
          <w:tcPr>
            <w:tcW w:w="4320" w:type="dxa"/>
            <w:tcBorders>
              <w:top w:val="single" w:sz="8" w:space="0" w:color="000000"/>
              <w:left w:val="single" w:sz="8" w:space="0" w:color="000000"/>
              <w:bottom w:val="nil"/>
              <w:right w:val="single" w:sz="8" w:space="0" w:color="000000"/>
            </w:tcBorders>
            <w:shd w:val="clear" w:color="000000" w:fill="A6A6A6"/>
            <w:vAlign w:val="center"/>
            <w:hideMark/>
          </w:tcPr>
          <w:p w14:paraId="468D1512" w14:textId="77777777" w:rsidR="00153603" w:rsidRPr="00CA34F5" w:rsidRDefault="00153603" w:rsidP="00153603">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Rubros que integran Ingresos de la Gestión</w:t>
            </w:r>
          </w:p>
        </w:tc>
        <w:tc>
          <w:tcPr>
            <w:tcW w:w="1540" w:type="dxa"/>
            <w:tcBorders>
              <w:top w:val="single" w:sz="8" w:space="0" w:color="000000"/>
              <w:left w:val="nil"/>
              <w:bottom w:val="nil"/>
              <w:right w:val="single" w:sz="8" w:space="0" w:color="000000"/>
            </w:tcBorders>
            <w:shd w:val="clear" w:color="000000" w:fill="A6A6A6"/>
            <w:vAlign w:val="center"/>
            <w:hideMark/>
          </w:tcPr>
          <w:p w14:paraId="2D6E3001" w14:textId="77777777" w:rsidR="00153603" w:rsidRPr="00CA34F5" w:rsidRDefault="00153603" w:rsidP="00153603">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Detalle</w:t>
            </w:r>
          </w:p>
        </w:tc>
        <w:tc>
          <w:tcPr>
            <w:tcW w:w="1540" w:type="dxa"/>
            <w:tcBorders>
              <w:top w:val="single" w:sz="8" w:space="0" w:color="000000"/>
              <w:left w:val="nil"/>
              <w:bottom w:val="nil"/>
              <w:right w:val="single" w:sz="8" w:space="0" w:color="000000"/>
            </w:tcBorders>
            <w:shd w:val="clear" w:color="000000" w:fill="A6A6A6"/>
            <w:vAlign w:val="center"/>
            <w:hideMark/>
          </w:tcPr>
          <w:p w14:paraId="77344F61" w14:textId="77777777" w:rsidR="00153603" w:rsidRPr="00CA34F5" w:rsidRDefault="00153603" w:rsidP="00153603">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Importe</w:t>
            </w:r>
          </w:p>
        </w:tc>
        <w:tc>
          <w:tcPr>
            <w:tcW w:w="1946" w:type="dxa"/>
            <w:tcBorders>
              <w:top w:val="single" w:sz="8" w:space="0" w:color="000000"/>
              <w:left w:val="nil"/>
              <w:bottom w:val="nil"/>
              <w:right w:val="single" w:sz="8" w:space="0" w:color="000000"/>
            </w:tcBorders>
            <w:shd w:val="clear" w:color="000000" w:fill="A6A6A6"/>
            <w:vAlign w:val="center"/>
            <w:hideMark/>
          </w:tcPr>
          <w:p w14:paraId="2CD64535" w14:textId="77777777" w:rsidR="00153603" w:rsidRPr="00CA34F5" w:rsidRDefault="00153603" w:rsidP="00153603">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w:t>
            </w:r>
          </w:p>
        </w:tc>
      </w:tr>
      <w:tr w:rsidR="00153603" w:rsidRPr="00CA34F5" w14:paraId="34985988" w14:textId="77777777" w:rsidTr="00045AA2">
        <w:trPr>
          <w:trHeight w:val="255"/>
          <w:jc w:val="center"/>
        </w:trPr>
        <w:tc>
          <w:tcPr>
            <w:tcW w:w="93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826D3CD" w14:textId="77777777" w:rsidR="00153603" w:rsidRPr="00CA34F5" w:rsidRDefault="00153603" w:rsidP="00153603">
            <w:pPr>
              <w:spacing w:after="0" w:line="240" w:lineRule="auto"/>
              <w:jc w:val="left"/>
              <w:rPr>
                <w:rFonts w:ascii="Arial" w:eastAsia="Times New Roman" w:hAnsi="Arial" w:cs="Arial"/>
                <w:b/>
                <w:bCs/>
                <w:color w:val="000000"/>
                <w:lang w:eastAsia="es-MX"/>
              </w:rPr>
            </w:pPr>
            <w:r w:rsidRPr="00CA34F5">
              <w:rPr>
                <w:rFonts w:ascii="Arial" w:eastAsia="Times New Roman" w:hAnsi="Arial" w:cs="Arial"/>
                <w:b/>
                <w:bCs/>
                <w:color w:val="000000"/>
                <w:lang w:eastAsia="es-MX"/>
              </w:rPr>
              <w:t>Impuestos</w:t>
            </w:r>
          </w:p>
        </w:tc>
      </w:tr>
      <w:tr w:rsidR="00153603" w:rsidRPr="00CA34F5" w14:paraId="388425D6" w14:textId="77777777" w:rsidTr="00045AA2">
        <w:trPr>
          <w:trHeight w:val="39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3AF8C20" w14:textId="77777777" w:rsidR="00153603" w:rsidRPr="00CA34F5" w:rsidRDefault="00153603" w:rsidP="00153603">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Impuestos Sobre Ingresos</w:t>
            </w:r>
          </w:p>
        </w:tc>
        <w:tc>
          <w:tcPr>
            <w:tcW w:w="1540" w:type="dxa"/>
            <w:tcBorders>
              <w:top w:val="nil"/>
              <w:left w:val="nil"/>
              <w:bottom w:val="single" w:sz="4" w:space="0" w:color="auto"/>
              <w:right w:val="single" w:sz="4" w:space="0" w:color="auto"/>
            </w:tcBorders>
            <w:shd w:val="clear" w:color="000000" w:fill="FFFFFF"/>
            <w:hideMark/>
          </w:tcPr>
          <w:p w14:paraId="109F79AD" w14:textId="77777777" w:rsidR="00153603" w:rsidRPr="00CA34F5" w:rsidRDefault="00153603" w:rsidP="00153603">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48,993,820</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14:paraId="510B915A" w14:textId="77777777" w:rsidR="00153603" w:rsidRPr="00CA34F5" w:rsidRDefault="00153603" w:rsidP="00153603">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2,262,498,240</w:t>
            </w:r>
          </w:p>
        </w:tc>
        <w:tc>
          <w:tcPr>
            <w:tcW w:w="1946" w:type="dxa"/>
            <w:vMerge w:val="restart"/>
            <w:tcBorders>
              <w:top w:val="nil"/>
              <w:left w:val="single" w:sz="4" w:space="0" w:color="auto"/>
              <w:bottom w:val="single" w:sz="4" w:space="0" w:color="auto"/>
              <w:right w:val="single" w:sz="4" w:space="0" w:color="auto"/>
            </w:tcBorders>
            <w:shd w:val="clear" w:color="auto" w:fill="auto"/>
            <w:vAlign w:val="center"/>
            <w:hideMark/>
          </w:tcPr>
          <w:p w14:paraId="43D409AE" w14:textId="77777777" w:rsidR="00153603" w:rsidRPr="00CA34F5" w:rsidRDefault="00153603" w:rsidP="00153603">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57.14</w:t>
            </w:r>
          </w:p>
        </w:tc>
      </w:tr>
      <w:tr w:rsidR="00153603" w:rsidRPr="00CA34F5" w14:paraId="7D393D49" w14:textId="77777777" w:rsidTr="00045AA2">
        <w:trPr>
          <w:trHeight w:val="37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0AC637A" w14:textId="77777777" w:rsidR="00153603" w:rsidRPr="00CA34F5" w:rsidRDefault="00153603" w:rsidP="00153603">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Impuestos Sobre el Patrimonio</w:t>
            </w:r>
          </w:p>
        </w:tc>
        <w:tc>
          <w:tcPr>
            <w:tcW w:w="1540" w:type="dxa"/>
            <w:tcBorders>
              <w:top w:val="nil"/>
              <w:left w:val="nil"/>
              <w:bottom w:val="single" w:sz="4" w:space="0" w:color="auto"/>
              <w:right w:val="single" w:sz="4" w:space="0" w:color="auto"/>
            </w:tcBorders>
            <w:shd w:val="clear" w:color="000000" w:fill="FFFFFF"/>
            <w:hideMark/>
          </w:tcPr>
          <w:p w14:paraId="307105E7" w14:textId="77777777" w:rsidR="00153603" w:rsidRPr="00CA34F5" w:rsidRDefault="00153603" w:rsidP="00153603">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23,968,606</w:t>
            </w:r>
          </w:p>
        </w:tc>
        <w:tc>
          <w:tcPr>
            <w:tcW w:w="1540" w:type="dxa"/>
            <w:vMerge/>
            <w:tcBorders>
              <w:top w:val="nil"/>
              <w:left w:val="single" w:sz="4" w:space="0" w:color="auto"/>
              <w:bottom w:val="single" w:sz="4" w:space="0" w:color="auto"/>
              <w:right w:val="single" w:sz="4" w:space="0" w:color="auto"/>
            </w:tcBorders>
            <w:vAlign w:val="center"/>
            <w:hideMark/>
          </w:tcPr>
          <w:p w14:paraId="7AFC4CCD"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c>
          <w:tcPr>
            <w:tcW w:w="1946" w:type="dxa"/>
            <w:vMerge/>
            <w:tcBorders>
              <w:top w:val="nil"/>
              <w:left w:val="single" w:sz="4" w:space="0" w:color="auto"/>
              <w:bottom w:val="single" w:sz="4" w:space="0" w:color="auto"/>
              <w:right w:val="single" w:sz="4" w:space="0" w:color="auto"/>
            </w:tcBorders>
            <w:vAlign w:val="center"/>
            <w:hideMark/>
          </w:tcPr>
          <w:p w14:paraId="3C1B452A"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r>
      <w:tr w:rsidR="00153603" w:rsidRPr="00CA34F5" w14:paraId="19FD1DA7" w14:textId="77777777" w:rsidTr="00045AA2">
        <w:trPr>
          <w:trHeight w:val="49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7F12257" w14:textId="77777777" w:rsidR="00153603" w:rsidRPr="00CA34F5" w:rsidRDefault="00153603" w:rsidP="00153603">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Impuestos Sobre la Producción, el Consumo y las Transacciones</w:t>
            </w:r>
          </w:p>
        </w:tc>
        <w:tc>
          <w:tcPr>
            <w:tcW w:w="1540" w:type="dxa"/>
            <w:tcBorders>
              <w:top w:val="nil"/>
              <w:left w:val="nil"/>
              <w:bottom w:val="single" w:sz="4" w:space="0" w:color="auto"/>
              <w:right w:val="single" w:sz="4" w:space="0" w:color="auto"/>
            </w:tcBorders>
            <w:shd w:val="clear" w:color="000000" w:fill="FFFFFF"/>
            <w:hideMark/>
          </w:tcPr>
          <w:p w14:paraId="18BF3129" w14:textId="77777777" w:rsidR="00153603" w:rsidRPr="00CA34F5" w:rsidRDefault="00153603" w:rsidP="00153603">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76,731,960</w:t>
            </w:r>
          </w:p>
        </w:tc>
        <w:tc>
          <w:tcPr>
            <w:tcW w:w="1540" w:type="dxa"/>
            <w:vMerge/>
            <w:tcBorders>
              <w:top w:val="nil"/>
              <w:left w:val="single" w:sz="4" w:space="0" w:color="auto"/>
              <w:bottom w:val="single" w:sz="4" w:space="0" w:color="auto"/>
              <w:right w:val="single" w:sz="4" w:space="0" w:color="auto"/>
            </w:tcBorders>
            <w:vAlign w:val="center"/>
            <w:hideMark/>
          </w:tcPr>
          <w:p w14:paraId="79CDA54B"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c>
          <w:tcPr>
            <w:tcW w:w="1946" w:type="dxa"/>
            <w:vMerge/>
            <w:tcBorders>
              <w:top w:val="nil"/>
              <w:left w:val="single" w:sz="4" w:space="0" w:color="auto"/>
              <w:bottom w:val="single" w:sz="4" w:space="0" w:color="auto"/>
              <w:right w:val="single" w:sz="4" w:space="0" w:color="auto"/>
            </w:tcBorders>
            <w:vAlign w:val="center"/>
            <w:hideMark/>
          </w:tcPr>
          <w:p w14:paraId="614B1F50"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r>
      <w:tr w:rsidR="00153603" w:rsidRPr="00CA34F5" w14:paraId="31B364ED" w14:textId="77777777" w:rsidTr="00045AA2">
        <w:trPr>
          <w:trHeight w:val="33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E673E20" w14:textId="77777777" w:rsidR="00153603" w:rsidRPr="00CA34F5" w:rsidRDefault="00153603" w:rsidP="00153603">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Impuestos Sobre Nóminas y Asimilables</w:t>
            </w:r>
          </w:p>
        </w:tc>
        <w:tc>
          <w:tcPr>
            <w:tcW w:w="1540" w:type="dxa"/>
            <w:tcBorders>
              <w:top w:val="nil"/>
              <w:left w:val="nil"/>
              <w:bottom w:val="single" w:sz="4" w:space="0" w:color="auto"/>
              <w:right w:val="single" w:sz="4" w:space="0" w:color="auto"/>
            </w:tcBorders>
            <w:shd w:val="clear" w:color="000000" w:fill="FFFFFF"/>
            <w:hideMark/>
          </w:tcPr>
          <w:p w14:paraId="79C71CC6" w14:textId="77777777" w:rsidR="00153603" w:rsidRPr="00CA34F5" w:rsidRDefault="00153603" w:rsidP="00153603">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2,078,705,837</w:t>
            </w:r>
          </w:p>
        </w:tc>
        <w:tc>
          <w:tcPr>
            <w:tcW w:w="1540" w:type="dxa"/>
            <w:vMerge/>
            <w:tcBorders>
              <w:top w:val="nil"/>
              <w:left w:val="single" w:sz="4" w:space="0" w:color="auto"/>
              <w:bottom w:val="single" w:sz="4" w:space="0" w:color="auto"/>
              <w:right w:val="single" w:sz="4" w:space="0" w:color="auto"/>
            </w:tcBorders>
            <w:vAlign w:val="center"/>
            <w:hideMark/>
          </w:tcPr>
          <w:p w14:paraId="66A7DF40"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c>
          <w:tcPr>
            <w:tcW w:w="1946" w:type="dxa"/>
            <w:vMerge/>
            <w:tcBorders>
              <w:top w:val="nil"/>
              <w:left w:val="single" w:sz="4" w:space="0" w:color="auto"/>
              <w:bottom w:val="single" w:sz="4" w:space="0" w:color="auto"/>
              <w:right w:val="single" w:sz="4" w:space="0" w:color="auto"/>
            </w:tcBorders>
            <w:vAlign w:val="center"/>
            <w:hideMark/>
          </w:tcPr>
          <w:p w14:paraId="512C75E3"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r>
      <w:tr w:rsidR="00153603" w:rsidRPr="00CA34F5" w14:paraId="65621232" w14:textId="77777777" w:rsidTr="00045AA2">
        <w:trPr>
          <w:trHeight w:val="37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A339B4F" w14:textId="77777777" w:rsidR="00153603" w:rsidRPr="00CA34F5" w:rsidRDefault="00153603" w:rsidP="00153603">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Accesorios de Impuestos</w:t>
            </w:r>
          </w:p>
        </w:tc>
        <w:tc>
          <w:tcPr>
            <w:tcW w:w="1540" w:type="dxa"/>
            <w:tcBorders>
              <w:top w:val="nil"/>
              <w:left w:val="nil"/>
              <w:bottom w:val="single" w:sz="4" w:space="0" w:color="auto"/>
              <w:right w:val="single" w:sz="4" w:space="0" w:color="auto"/>
            </w:tcBorders>
            <w:shd w:val="clear" w:color="000000" w:fill="FFFFFF"/>
            <w:hideMark/>
          </w:tcPr>
          <w:p w14:paraId="38D9FCEB" w14:textId="77777777" w:rsidR="00153603" w:rsidRPr="00CA34F5" w:rsidRDefault="00153603" w:rsidP="00153603">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25,025,620</w:t>
            </w:r>
          </w:p>
        </w:tc>
        <w:tc>
          <w:tcPr>
            <w:tcW w:w="1540" w:type="dxa"/>
            <w:vMerge/>
            <w:tcBorders>
              <w:top w:val="nil"/>
              <w:left w:val="single" w:sz="4" w:space="0" w:color="auto"/>
              <w:bottom w:val="single" w:sz="4" w:space="0" w:color="auto"/>
              <w:right w:val="single" w:sz="4" w:space="0" w:color="auto"/>
            </w:tcBorders>
            <w:vAlign w:val="center"/>
            <w:hideMark/>
          </w:tcPr>
          <w:p w14:paraId="1DC88755"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c>
          <w:tcPr>
            <w:tcW w:w="1946" w:type="dxa"/>
            <w:vMerge/>
            <w:tcBorders>
              <w:top w:val="nil"/>
              <w:left w:val="single" w:sz="4" w:space="0" w:color="auto"/>
              <w:bottom w:val="single" w:sz="4" w:space="0" w:color="auto"/>
              <w:right w:val="single" w:sz="4" w:space="0" w:color="auto"/>
            </w:tcBorders>
            <w:vAlign w:val="center"/>
            <w:hideMark/>
          </w:tcPr>
          <w:p w14:paraId="30FC980E"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r>
      <w:tr w:rsidR="00153603" w:rsidRPr="00CA34F5" w14:paraId="454DE92E" w14:textId="77777777" w:rsidTr="00045AA2">
        <w:trPr>
          <w:trHeight w:val="103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7E610272" w14:textId="77777777" w:rsidR="00153603" w:rsidRPr="00CA34F5" w:rsidRDefault="00153603" w:rsidP="00153603">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Impuestos no Comprendidos en la Ley de Ingresos Vigente, Causados en Ejercicios Fiscales Anteriores pendientes de Liquidación o Pago.</w:t>
            </w:r>
          </w:p>
        </w:tc>
        <w:tc>
          <w:tcPr>
            <w:tcW w:w="1540" w:type="dxa"/>
            <w:tcBorders>
              <w:top w:val="nil"/>
              <w:left w:val="nil"/>
              <w:bottom w:val="single" w:sz="4" w:space="0" w:color="auto"/>
              <w:right w:val="single" w:sz="4" w:space="0" w:color="auto"/>
            </w:tcBorders>
            <w:shd w:val="clear" w:color="000000" w:fill="FFFFFF"/>
            <w:hideMark/>
          </w:tcPr>
          <w:p w14:paraId="6AA7BA09" w14:textId="77777777" w:rsidR="00153603" w:rsidRPr="00CA34F5" w:rsidRDefault="00153603" w:rsidP="00153603">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9,072,397</w:t>
            </w:r>
          </w:p>
        </w:tc>
        <w:tc>
          <w:tcPr>
            <w:tcW w:w="1540" w:type="dxa"/>
            <w:vMerge/>
            <w:tcBorders>
              <w:top w:val="nil"/>
              <w:left w:val="single" w:sz="4" w:space="0" w:color="auto"/>
              <w:bottom w:val="single" w:sz="4" w:space="0" w:color="auto"/>
              <w:right w:val="single" w:sz="4" w:space="0" w:color="auto"/>
            </w:tcBorders>
            <w:vAlign w:val="center"/>
            <w:hideMark/>
          </w:tcPr>
          <w:p w14:paraId="3F98D764"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c>
          <w:tcPr>
            <w:tcW w:w="1946" w:type="dxa"/>
            <w:vMerge/>
            <w:tcBorders>
              <w:top w:val="nil"/>
              <w:left w:val="single" w:sz="4" w:space="0" w:color="auto"/>
              <w:bottom w:val="single" w:sz="4" w:space="0" w:color="auto"/>
              <w:right w:val="single" w:sz="4" w:space="0" w:color="auto"/>
            </w:tcBorders>
            <w:vAlign w:val="center"/>
            <w:hideMark/>
          </w:tcPr>
          <w:p w14:paraId="658BF549"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r>
      <w:tr w:rsidR="00153603" w:rsidRPr="00CA34F5" w14:paraId="2628C498" w14:textId="77777777" w:rsidTr="00045AA2">
        <w:trPr>
          <w:trHeight w:val="255"/>
          <w:jc w:val="center"/>
        </w:trPr>
        <w:tc>
          <w:tcPr>
            <w:tcW w:w="9346" w:type="dxa"/>
            <w:gridSpan w:val="4"/>
            <w:tcBorders>
              <w:top w:val="nil"/>
              <w:left w:val="single" w:sz="8" w:space="0" w:color="000000"/>
              <w:bottom w:val="nil"/>
              <w:right w:val="single" w:sz="8" w:space="0" w:color="000000"/>
            </w:tcBorders>
            <w:shd w:val="clear" w:color="auto" w:fill="auto"/>
            <w:vAlign w:val="center"/>
            <w:hideMark/>
          </w:tcPr>
          <w:p w14:paraId="58F7669F" w14:textId="77777777" w:rsidR="00153603" w:rsidRPr="00CA34F5" w:rsidRDefault="00153603" w:rsidP="00153603">
            <w:pPr>
              <w:spacing w:after="0" w:line="240" w:lineRule="auto"/>
              <w:jc w:val="left"/>
              <w:rPr>
                <w:rFonts w:ascii="Arial" w:eastAsia="Times New Roman" w:hAnsi="Arial" w:cs="Arial"/>
                <w:b/>
                <w:bCs/>
                <w:color w:val="000000"/>
                <w:lang w:eastAsia="es-MX"/>
              </w:rPr>
            </w:pPr>
            <w:r w:rsidRPr="00CA34F5">
              <w:rPr>
                <w:rFonts w:ascii="Arial" w:eastAsia="Times New Roman" w:hAnsi="Arial" w:cs="Arial"/>
                <w:b/>
                <w:bCs/>
                <w:color w:val="000000"/>
                <w:lang w:eastAsia="es-MX"/>
              </w:rPr>
              <w:t>Derechos</w:t>
            </w:r>
          </w:p>
        </w:tc>
      </w:tr>
      <w:tr w:rsidR="00153603" w:rsidRPr="00CA34F5" w14:paraId="2772175A" w14:textId="77777777" w:rsidTr="00045AA2">
        <w:trPr>
          <w:trHeight w:val="300"/>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AC51A" w14:textId="77777777" w:rsidR="00153603" w:rsidRPr="00CA34F5" w:rsidRDefault="00153603" w:rsidP="00153603">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Derechos por Prestación de Servicios</w:t>
            </w:r>
          </w:p>
        </w:tc>
        <w:tc>
          <w:tcPr>
            <w:tcW w:w="1540" w:type="dxa"/>
            <w:tcBorders>
              <w:top w:val="single" w:sz="4" w:space="0" w:color="auto"/>
              <w:left w:val="nil"/>
              <w:bottom w:val="single" w:sz="4" w:space="0" w:color="auto"/>
              <w:right w:val="single" w:sz="4" w:space="0" w:color="auto"/>
            </w:tcBorders>
            <w:shd w:val="clear" w:color="000000" w:fill="FFFFFF"/>
            <w:hideMark/>
          </w:tcPr>
          <w:p w14:paraId="09382DAC" w14:textId="77777777" w:rsidR="00153603" w:rsidRPr="00CA34F5" w:rsidRDefault="00153603" w:rsidP="00153603">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1,149,909,512</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3CCDF1" w14:textId="77777777" w:rsidR="00153603" w:rsidRPr="00CA34F5" w:rsidRDefault="00153603" w:rsidP="00153603">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1,169,675,011</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B561B3" w14:textId="77777777" w:rsidR="00153603" w:rsidRPr="00CA34F5" w:rsidRDefault="00153603" w:rsidP="00153603">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29.54</w:t>
            </w:r>
          </w:p>
        </w:tc>
      </w:tr>
      <w:tr w:rsidR="00153603" w:rsidRPr="00CA34F5" w14:paraId="142ED27B" w14:textId="77777777" w:rsidTr="00045AA2">
        <w:trPr>
          <w:trHeight w:val="34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EF68CF8" w14:textId="77777777" w:rsidR="00153603" w:rsidRPr="00CA34F5" w:rsidRDefault="00153603" w:rsidP="00153603">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Accesorios de Derechos</w:t>
            </w:r>
          </w:p>
        </w:tc>
        <w:tc>
          <w:tcPr>
            <w:tcW w:w="1540" w:type="dxa"/>
            <w:tcBorders>
              <w:top w:val="nil"/>
              <w:left w:val="nil"/>
              <w:bottom w:val="single" w:sz="4" w:space="0" w:color="auto"/>
              <w:right w:val="single" w:sz="4" w:space="0" w:color="auto"/>
            </w:tcBorders>
            <w:shd w:val="clear" w:color="000000" w:fill="FFFFFF"/>
            <w:hideMark/>
          </w:tcPr>
          <w:p w14:paraId="338AE58E" w14:textId="77777777" w:rsidR="00153603" w:rsidRPr="00CA34F5" w:rsidRDefault="00153603" w:rsidP="00153603">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6,721,512</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72953BCB"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6223D853"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r>
      <w:tr w:rsidR="00153603" w:rsidRPr="00CA34F5" w14:paraId="73A19491" w14:textId="77777777" w:rsidTr="00045AA2">
        <w:trPr>
          <w:trHeight w:val="25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34D627E" w14:textId="77777777" w:rsidR="00153603" w:rsidRPr="00CA34F5" w:rsidRDefault="00153603" w:rsidP="00153603">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Otros Derechos</w:t>
            </w:r>
          </w:p>
        </w:tc>
        <w:tc>
          <w:tcPr>
            <w:tcW w:w="1540" w:type="dxa"/>
            <w:tcBorders>
              <w:top w:val="nil"/>
              <w:left w:val="nil"/>
              <w:bottom w:val="single" w:sz="4" w:space="0" w:color="auto"/>
              <w:right w:val="single" w:sz="4" w:space="0" w:color="auto"/>
            </w:tcBorders>
            <w:shd w:val="clear" w:color="000000" w:fill="FFFFFF"/>
            <w:hideMark/>
          </w:tcPr>
          <w:p w14:paraId="2AC86340" w14:textId="77777777" w:rsidR="00153603" w:rsidRPr="00CA34F5" w:rsidRDefault="00153603" w:rsidP="00153603">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13,043,986</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6494622B"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2B86F63F"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r>
      <w:tr w:rsidR="00153603" w:rsidRPr="00CA34F5" w14:paraId="1E1C1467" w14:textId="77777777" w:rsidTr="00045AA2">
        <w:trPr>
          <w:trHeight w:val="255"/>
          <w:jc w:val="center"/>
        </w:trPr>
        <w:tc>
          <w:tcPr>
            <w:tcW w:w="9346" w:type="dxa"/>
            <w:gridSpan w:val="4"/>
            <w:tcBorders>
              <w:top w:val="nil"/>
              <w:left w:val="single" w:sz="8" w:space="0" w:color="auto"/>
              <w:bottom w:val="nil"/>
              <w:right w:val="single" w:sz="8" w:space="0" w:color="000000"/>
            </w:tcBorders>
            <w:shd w:val="clear" w:color="auto" w:fill="auto"/>
            <w:vAlign w:val="center"/>
            <w:hideMark/>
          </w:tcPr>
          <w:p w14:paraId="18CD7C09" w14:textId="77777777" w:rsidR="00153603" w:rsidRPr="00CA34F5" w:rsidRDefault="00153603" w:rsidP="00153603">
            <w:pPr>
              <w:spacing w:after="0" w:line="240" w:lineRule="auto"/>
              <w:jc w:val="left"/>
              <w:rPr>
                <w:rFonts w:ascii="Arial" w:eastAsia="Times New Roman" w:hAnsi="Arial" w:cs="Arial"/>
                <w:b/>
                <w:bCs/>
                <w:color w:val="000000"/>
                <w:lang w:eastAsia="es-MX"/>
              </w:rPr>
            </w:pPr>
            <w:r w:rsidRPr="00CA34F5">
              <w:rPr>
                <w:rFonts w:ascii="Arial" w:eastAsia="Times New Roman" w:hAnsi="Arial" w:cs="Arial"/>
                <w:b/>
                <w:bCs/>
                <w:color w:val="000000"/>
                <w:lang w:eastAsia="es-MX"/>
              </w:rPr>
              <w:t>Productos</w:t>
            </w:r>
          </w:p>
        </w:tc>
      </w:tr>
      <w:tr w:rsidR="00153603" w:rsidRPr="00CA34F5" w14:paraId="4937B912" w14:textId="77777777" w:rsidTr="00045AA2">
        <w:trPr>
          <w:trHeight w:val="255"/>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7708F" w14:textId="77777777" w:rsidR="00153603" w:rsidRPr="00CA34F5" w:rsidRDefault="00153603" w:rsidP="00153603">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Productos</w:t>
            </w:r>
          </w:p>
        </w:tc>
        <w:tc>
          <w:tcPr>
            <w:tcW w:w="1540" w:type="dxa"/>
            <w:tcBorders>
              <w:top w:val="single" w:sz="4" w:space="0" w:color="auto"/>
              <w:left w:val="nil"/>
              <w:bottom w:val="single" w:sz="4" w:space="0" w:color="auto"/>
              <w:right w:val="single" w:sz="4" w:space="0" w:color="auto"/>
            </w:tcBorders>
            <w:shd w:val="clear" w:color="000000" w:fill="FFFFFF"/>
            <w:hideMark/>
          </w:tcPr>
          <w:p w14:paraId="6DB6002E" w14:textId="77777777" w:rsidR="00153603" w:rsidRPr="00CA34F5" w:rsidRDefault="00153603" w:rsidP="00153603">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152,974,716</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A31C391" w14:textId="77777777" w:rsidR="00153603" w:rsidRPr="00CA34F5" w:rsidRDefault="00153603" w:rsidP="00153603">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152,974,716</w:t>
            </w:r>
          </w:p>
        </w:tc>
        <w:tc>
          <w:tcPr>
            <w:tcW w:w="1946" w:type="dxa"/>
            <w:tcBorders>
              <w:top w:val="single" w:sz="4" w:space="0" w:color="auto"/>
              <w:left w:val="nil"/>
              <w:bottom w:val="single" w:sz="4" w:space="0" w:color="auto"/>
              <w:right w:val="single" w:sz="4" w:space="0" w:color="auto"/>
            </w:tcBorders>
            <w:shd w:val="clear" w:color="auto" w:fill="auto"/>
            <w:vAlign w:val="center"/>
            <w:hideMark/>
          </w:tcPr>
          <w:p w14:paraId="62289061" w14:textId="77777777" w:rsidR="00153603" w:rsidRPr="00CA34F5" w:rsidRDefault="00153603" w:rsidP="00153603">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3.86</w:t>
            </w:r>
          </w:p>
        </w:tc>
      </w:tr>
      <w:tr w:rsidR="00153603" w:rsidRPr="00CA34F5" w14:paraId="67B302D4" w14:textId="77777777" w:rsidTr="00045AA2">
        <w:trPr>
          <w:trHeight w:val="255"/>
          <w:jc w:val="center"/>
        </w:trPr>
        <w:tc>
          <w:tcPr>
            <w:tcW w:w="93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9C3CD97" w14:textId="77777777" w:rsidR="00153603" w:rsidRPr="00CA34F5" w:rsidRDefault="00153603" w:rsidP="00153603">
            <w:pPr>
              <w:spacing w:after="0" w:line="240" w:lineRule="auto"/>
              <w:jc w:val="left"/>
              <w:rPr>
                <w:rFonts w:ascii="Arial" w:eastAsia="Times New Roman" w:hAnsi="Arial" w:cs="Arial"/>
                <w:b/>
                <w:bCs/>
                <w:color w:val="000000"/>
                <w:lang w:eastAsia="es-MX"/>
              </w:rPr>
            </w:pPr>
            <w:r w:rsidRPr="00CA34F5">
              <w:rPr>
                <w:rFonts w:ascii="Arial" w:eastAsia="Times New Roman" w:hAnsi="Arial" w:cs="Arial"/>
                <w:b/>
                <w:bCs/>
                <w:color w:val="000000"/>
                <w:lang w:eastAsia="es-MX"/>
              </w:rPr>
              <w:t>Aprovechamientos</w:t>
            </w:r>
          </w:p>
        </w:tc>
      </w:tr>
      <w:tr w:rsidR="00153603" w:rsidRPr="00CA34F5" w14:paraId="454BEB44" w14:textId="77777777" w:rsidTr="00045AA2">
        <w:trPr>
          <w:trHeight w:val="25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9806B49" w14:textId="77777777" w:rsidR="00153603" w:rsidRPr="00CA34F5" w:rsidRDefault="00153603" w:rsidP="00153603">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Multas</w:t>
            </w:r>
          </w:p>
        </w:tc>
        <w:tc>
          <w:tcPr>
            <w:tcW w:w="1540" w:type="dxa"/>
            <w:tcBorders>
              <w:top w:val="nil"/>
              <w:left w:val="nil"/>
              <w:bottom w:val="single" w:sz="4" w:space="0" w:color="auto"/>
              <w:right w:val="single" w:sz="4" w:space="0" w:color="auto"/>
            </w:tcBorders>
            <w:shd w:val="clear" w:color="000000" w:fill="FFFFFF"/>
            <w:vAlign w:val="bottom"/>
            <w:hideMark/>
          </w:tcPr>
          <w:p w14:paraId="2EA0BB6B" w14:textId="77777777" w:rsidR="00153603" w:rsidRPr="00CA34F5" w:rsidRDefault="00153603" w:rsidP="00153603">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101,101,698</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14:paraId="6742C0ED" w14:textId="77777777" w:rsidR="00153603" w:rsidRPr="00CA34F5" w:rsidRDefault="00153603" w:rsidP="00153603">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374,576,611</w:t>
            </w:r>
          </w:p>
        </w:tc>
        <w:tc>
          <w:tcPr>
            <w:tcW w:w="1946" w:type="dxa"/>
            <w:vMerge w:val="restart"/>
            <w:tcBorders>
              <w:top w:val="nil"/>
              <w:left w:val="single" w:sz="4" w:space="0" w:color="auto"/>
              <w:bottom w:val="single" w:sz="4" w:space="0" w:color="auto"/>
              <w:right w:val="single" w:sz="4" w:space="0" w:color="auto"/>
            </w:tcBorders>
            <w:shd w:val="clear" w:color="auto" w:fill="auto"/>
            <w:vAlign w:val="center"/>
            <w:hideMark/>
          </w:tcPr>
          <w:p w14:paraId="06F021C3" w14:textId="77777777" w:rsidR="00153603" w:rsidRPr="00CA34F5" w:rsidRDefault="00153603" w:rsidP="00153603">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9.46</w:t>
            </w:r>
          </w:p>
        </w:tc>
      </w:tr>
      <w:tr w:rsidR="00153603" w:rsidRPr="00CA34F5" w14:paraId="446B3CA3" w14:textId="77777777" w:rsidTr="00045AA2">
        <w:trPr>
          <w:trHeight w:val="27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0C8D56BD" w14:textId="77777777" w:rsidR="00153603" w:rsidRPr="00CA34F5" w:rsidRDefault="00153603" w:rsidP="00153603">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Indemnizaciones</w:t>
            </w:r>
          </w:p>
        </w:tc>
        <w:tc>
          <w:tcPr>
            <w:tcW w:w="1540" w:type="dxa"/>
            <w:tcBorders>
              <w:top w:val="nil"/>
              <w:left w:val="nil"/>
              <w:bottom w:val="single" w:sz="4" w:space="0" w:color="auto"/>
              <w:right w:val="single" w:sz="4" w:space="0" w:color="auto"/>
            </w:tcBorders>
            <w:shd w:val="clear" w:color="000000" w:fill="FFFFFF"/>
            <w:hideMark/>
          </w:tcPr>
          <w:p w14:paraId="25454BA1" w14:textId="77777777" w:rsidR="00153603" w:rsidRPr="00CA34F5" w:rsidRDefault="00153603" w:rsidP="00153603">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3,095,215</w:t>
            </w:r>
          </w:p>
        </w:tc>
        <w:tc>
          <w:tcPr>
            <w:tcW w:w="1540" w:type="dxa"/>
            <w:vMerge/>
            <w:tcBorders>
              <w:top w:val="nil"/>
              <w:left w:val="single" w:sz="4" w:space="0" w:color="auto"/>
              <w:bottom w:val="single" w:sz="4" w:space="0" w:color="auto"/>
              <w:right w:val="single" w:sz="4" w:space="0" w:color="auto"/>
            </w:tcBorders>
            <w:vAlign w:val="center"/>
            <w:hideMark/>
          </w:tcPr>
          <w:p w14:paraId="6E733774"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c>
          <w:tcPr>
            <w:tcW w:w="1946" w:type="dxa"/>
            <w:vMerge/>
            <w:tcBorders>
              <w:top w:val="nil"/>
              <w:left w:val="single" w:sz="4" w:space="0" w:color="auto"/>
              <w:bottom w:val="single" w:sz="4" w:space="0" w:color="auto"/>
              <w:right w:val="single" w:sz="4" w:space="0" w:color="auto"/>
            </w:tcBorders>
            <w:vAlign w:val="center"/>
            <w:hideMark/>
          </w:tcPr>
          <w:p w14:paraId="5523406B"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r>
      <w:tr w:rsidR="00153603" w:rsidRPr="00CA34F5" w14:paraId="09F32D34" w14:textId="77777777" w:rsidTr="00045AA2">
        <w:trPr>
          <w:trHeight w:val="25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102050A" w14:textId="77777777" w:rsidR="00153603" w:rsidRPr="00CA34F5" w:rsidRDefault="00153603" w:rsidP="00153603">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Reintegro</w:t>
            </w:r>
          </w:p>
        </w:tc>
        <w:tc>
          <w:tcPr>
            <w:tcW w:w="1540" w:type="dxa"/>
            <w:tcBorders>
              <w:top w:val="nil"/>
              <w:left w:val="nil"/>
              <w:bottom w:val="single" w:sz="4" w:space="0" w:color="auto"/>
              <w:right w:val="single" w:sz="4" w:space="0" w:color="auto"/>
            </w:tcBorders>
            <w:shd w:val="clear" w:color="auto" w:fill="auto"/>
            <w:hideMark/>
          </w:tcPr>
          <w:p w14:paraId="258849F2" w14:textId="77777777" w:rsidR="00153603" w:rsidRPr="00CA34F5" w:rsidRDefault="00153603" w:rsidP="00153603">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204,150</w:t>
            </w:r>
          </w:p>
        </w:tc>
        <w:tc>
          <w:tcPr>
            <w:tcW w:w="1540" w:type="dxa"/>
            <w:vMerge/>
            <w:tcBorders>
              <w:top w:val="nil"/>
              <w:left w:val="single" w:sz="4" w:space="0" w:color="auto"/>
              <w:bottom w:val="single" w:sz="4" w:space="0" w:color="auto"/>
              <w:right w:val="single" w:sz="4" w:space="0" w:color="auto"/>
            </w:tcBorders>
            <w:vAlign w:val="center"/>
            <w:hideMark/>
          </w:tcPr>
          <w:p w14:paraId="78897F4F"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c>
          <w:tcPr>
            <w:tcW w:w="1946" w:type="dxa"/>
            <w:vMerge/>
            <w:tcBorders>
              <w:top w:val="nil"/>
              <w:left w:val="single" w:sz="4" w:space="0" w:color="auto"/>
              <w:bottom w:val="single" w:sz="4" w:space="0" w:color="auto"/>
              <w:right w:val="single" w:sz="4" w:space="0" w:color="auto"/>
            </w:tcBorders>
            <w:vAlign w:val="center"/>
            <w:hideMark/>
          </w:tcPr>
          <w:p w14:paraId="4DE5F4F5"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r>
      <w:tr w:rsidR="00153603" w:rsidRPr="00CA34F5" w14:paraId="1863D885" w14:textId="77777777" w:rsidTr="00045AA2">
        <w:trPr>
          <w:trHeight w:val="40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119E155" w14:textId="77777777" w:rsidR="00153603" w:rsidRPr="00CA34F5" w:rsidRDefault="00153603" w:rsidP="00153603">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Accesorios de Aprovechamientos</w:t>
            </w:r>
          </w:p>
        </w:tc>
        <w:tc>
          <w:tcPr>
            <w:tcW w:w="1540" w:type="dxa"/>
            <w:tcBorders>
              <w:top w:val="nil"/>
              <w:left w:val="nil"/>
              <w:bottom w:val="single" w:sz="4" w:space="0" w:color="auto"/>
              <w:right w:val="single" w:sz="4" w:space="0" w:color="auto"/>
            </w:tcBorders>
            <w:shd w:val="clear" w:color="000000" w:fill="FFFFFF"/>
            <w:hideMark/>
          </w:tcPr>
          <w:p w14:paraId="68E6519E" w14:textId="77777777" w:rsidR="00153603" w:rsidRPr="00CA34F5" w:rsidRDefault="00153603" w:rsidP="00153603">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1,520,432</w:t>
            </w:r>
          </w:p>
        </w:tc>
        <w:tc>
          <w:tcPr>
            <w:tcW w:w="1540" w:type="dxa"/>
            <w:vMerge/>
            <w:tcBorders>
              <w:top w:val="nil"/>
              <w:left w:val="single" w:sz="4" w:space="0" w:color="auto"/>
              <w:bottom w:val="single" w:sz="4" w:space="0" w:color="auto"/>
              <w:right w:val="single" w:sz="4" w:space="0" w:color="auto"/>
            </w:tcBorders>
            <w:vAlign w:val="center"/>
            <w:hideMark/>
          </w:tcPr>
          <w:p w14:paraId="66D60F22"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c>
          <w:tcPr>
            <w:tcW w:w="1946" w:type="dxa"/>
            <w:vMerge/>
            <w:tcBorders>
              <w:top w:val="nil"/>
              <w:left w:val="single" w:sz="4" w:space="0" w:color="auto"/>
              <w:bottom w:val="single" w:sz="4" w:space="0" w:color="auto"/>
              <w:right w:val="single" w:sz="4" w:space="0" w:color="auto"/>
            </w:tcBorders>
            <w:vAlign w:val="center"/>
            <w:hideMark/>
          </w:tcPr>
          <w:p w14:paraId="3D0F8B68"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r>
      <w:tr w:rsidR="00153603" w:rsidRPr="00CA34F5" w14:paraId="765788CD" w14:textId="77777777" w:rsidTr="00045AA2">
        <w:trPr>
          <w:trHeight w:val="43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9762196" w14:textId="77777777" w:rsidR="00153603" w:rsidRPr="00CA34F5" w:rsidRDefault="00153603" w:rsidP="00153603">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Otros Aprovechamientos</w:t>
            </w:r>
          </w:p>
        </w:tc>
        <w:tc>
          <w:tcPr>
            <w:tcW w:w="1540" w:type="dxa"/>
            <w:tcBorders>
              <w:top w:val="nil"/>
              <w:left w:val="nil"/>
              <w:bottom w:val="single" w:sz="4" w:space="0" w:color="auto"/>
              <w:right w:val="single" w:sz="4" w:space="0" w:color="auto"/>
            </w:tcBorders>
            <w:shd w:val="clear" w:color="000000" w:fill="FFFFFF"/>
            <w:hideMark/>
          </w:tcPr>
          <w:p w14:paraId="53F344F8" w14:textId="77777777" w:rsidR="00153603" w:rsidRPr="00CA34F5" w:rsidRDefault="00153603" w:rsidP="00153603">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268,655,117</w:t>
            </w:r>
          </w:p>
        </w:tc>
        <w:tc>
          <w:tcPr>
            <w:tcW w:w="1540" w:type="dxa"/>
            <w:vMerge/>
            <w:tcBorders>
              <w:top w:val="nil"/>
              <w:left w:val="single" w:sz="4" w:space="0" w:color="auto"/>
              <w:bottom w:val="single" w:sz="4" w:space="0" w:color="auto"/>
              <w:right w:val="single" w:sz="4" w:space="0" w:color="auto"/>
            </w:tcBorders>
            <w:vAlign w:val="center"/>
            <w:hideMark/>
          </w:tcPr>
          <w:p w14:paraId="36A9B0E4"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c>
          <w:tcPr>
            <w:tcW w:w="1946" w:type="dxa"/>
            <w:vMerge/>
            <w:tcBorders>
              <w:top w:val="nil"/>
              <w:left w:val="single" w:sz="4" w:space="0" w:color="auto"/>
              <w:bottom w:val="single" w:sz="4" w:space="0" w:color="auto"/>
              <w:right w:val="single" w:sz="4" w:space="0" w:color="auto"/>
            </w:tcBorders>
            <w:vAlign w:val="center"/>
            <w:hideMark/>
          </w:tcPr>
          <w:p w14:paraId="26F3E9A8"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r>
      <w:tr w:rsidR="00153603" w:rsidRPr="00CA34F5" w14:paraId="15F17400" w14:textId="77777777" w:rsidTr="00045AA2">
        <w:trPr>
          <w:trHeight w:val="25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7281836" w14:textId="77777777" w:rsidR="00153603" w:rsidRPr="00CA34F5" w:rsidRDefault="00153603" w:rsidP="00153603">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Total</w:t>
            </w:r>
          </w:p>
        </w:tc>
        <w:tc>
          <w:tcPr>
            <w:tcW w:w="3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358D48" w14:textId="77777777" w:rsidR="00153603" w:rsidRPr="00CA34F5" w:rsidRDefault="00153603" w:rsidP="00153603">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3,959,724,578</w:t>
            </w:r>
          </w:p>
        </w:tc>
        <w:tc>
          <w:tcPr>
            <w:tcW w:w="1946" w:type="dxa"/>
            <w:tcBorders>
              <w:top w:val="nil"/>
              <w:left w:val="nil"/>
              <w:bottom w:val="single" w:sz="4" w:space="0" w:color="auto"/>
              <w:right w:val="single" w:sz="4" w:space="0" w:color="auto"/>
            </w:tcBorders>
            <w:shd w:val="clear" w:color="auto" w:fill="auto"/>
            <w:noWrap/>
            <w:vAlign w:val="center"/>
            <w:hideMark/>
          </w:tcPr>
          <w:p w14:paraId="3979EFCE" w14:textId="77777777" w:rsidR="00153603" w:rsidRPr="00CA34F5" w:rsidRDefault="00153603" w:rsidP="00153603">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100</w:t>
            </w:r>
          </w:p>
        </w:tc>
      </w:tr>
    </w:tbl>
    <w:p w14:paraId="39F1C439" w14:textId="2C493B2F" w:rsidR="00655220" w:rsidRPr="00CA34F5" w:rsidRDefault="00655220" w:rsidP="000A4C31">
      <w:pPr>
        <w:tabs>
          <w:tab w:val="left" w:pos="6163"/>
        </w:tabs>
        <w:spacing w:after="0" w:line="240" w:lineRule="auto"/>
        <w:jc w:val="both"/>
        <w:rPr>
          <w:rFonts w:ascii="Arial" w:hAnsi="Arial" w:cs="Arial"/>
        </w:rPr>
      </w:pPr>
    </w:p>
    <w:p w14:paraId="20D6DBEC" w14:textId="77777777" w:rsidR="00470541" w:rsidRPr="00CA34F5" w:rsidRDefault="00470541" w:rsidP="000A4C31">
      <w:pPr>
        <w:spacing w:after="0" w:line="240" w:lineRule="auto"/>
        <w:jc w:val="both"/>
        <w:rPr>
          <w:rFonts w:ascii="Arial" w:hAnsi="Arial" w:cs="Arial"/>
          <w:bCs/>
          <w:lang w:eastAsia="es-MX"/>
        </w:rPr>
      </w:pPr>
    </w:p>
    <w:p w14:paraId="27DF218F" w14:textId="77777777" w:rsidR="00A07028" w:rsidRPr="00CA34F5" w:rsidRDefault="00A07028" w:rsidP="000A4C31">
      <w:pPr>
        <w:spacing w:after="0" w:line="240" w:lineRule="auto"/>
        <w:jc w:val="both"/>
        <w:rPr>
          <w:rFonts w:ascii="Arial" w:hAnsi="Arial" w:cs="Arial"/>
          <w:b/>
          <w:bCs/>
          <w:lang w:eastAsia="es-MX"/>
        </w:rPr>
      </w:pPr>
    </w:p>
    <w:p w14:paraId="79F6CA43" w14:textId="70BF58CE" w:rsidR="00655220" w:rsidRPr="00CA34F5" w:rsidRDefault="00655220" w:rsidP="000A4C31">
      <w:pPr>
        <w:spacing w:after="0" w:line="240" w:lineRule="auto"/>
        <w:jc w:val="both"/>
        <w:rPr>
          <w:rFonts w:ascii="Arial" w:hAnsi="Arial" w:cs="Arial"/>
          <w:b/>
          <w:bCs/>
          <w:lang w:eastAsia="es-MX"/>
        </w:rPr>
      </w:pPr>
      <w:r w:rsidRPr="00CA34F5">
        <w:rPr>
          <w:rFonts w:ascii="Arial" w:hAnsi="Arial" w:cs="Arial"/>
          <w:b/>
          <w:bCs/>
          <w:lang w:eastAsia="es-MX"/>
        </w:rPr>
        <w:t>Participaciones, Aportaciones, Convenios, Incentivos Derivados de la Colaboración Fiscal, Fondos Distintos de Aportaciones, Transferencias, Asignaciones, Subsidios y Subvencione</w:t>
      </w:r>
      <w:r w:rsidR="00F14BA7" w:rsidRPr="00CA34F5">
        <w:rPr>
          <w:rFonts w:ascii="Arial" w:hAnsi="Arial" w:cs="Arial"/>
          <w:b/>
          <w:bCs/>
          <w:lang w:eastAsia="es-MX"/>
        </w:rPr>
        <w:t xml:space="preserve">s, y Pensiones y Jubilaciones </w:t>
      </w:r>
      <w:r w:rsidR="00937689" w:rsidRPr="00CA34F5">
        <w:rPr>
          <w:rFonts w:ascii="Arial" w:hAnsi="Arial" w:cs="Arial"/>
          <w:b/>
          <w:bCs/>
          <w:lang w:eastAsia="es-MX"/>
        </w:rPr>
        <w:t>$</w:t>
      </w:r>
      <w:r w:rsidR="004D1743" w:rsidRPr="00CA34F5">
        <w:rPr>
          <w:rFonts w:ascii="Arial" w:eastAsia="Times New Roman" w:hAnsi="Arial" w:cs="Arial"/>
          <w:b/>
          <w:bCs/>
          <w:color w:val="000000"/>
          <w:lang w:eastAsia="es-MX"/>
        </w:rPr>
        <w:t>53</w:t>
      </w:r>
      <w:proofErr w:type="gramStart"/>
      <w:r w:rsidR="004D1743" w:rsidRPr="00CA34F5">
        <w:rPr>
          <w:rFonts w:ascii="Arial" w:eastAsia="Times New Roman" w:hAnsi="Arial" w:cs="Arial"/>
          <w:b/>
          <w:bCs/>
          <w:color w:val="000000"/>
          <w:lang w:eastAsia="es-MX"/>
        </w:rPr>
        <w:t>,383,096,956</w:t>
      </w:r>
      <w:proofErr w:type="gramEnd"/>
    </w:p>
    <w:p w14:paraId="1EDD24AA" w14:textId="77777777" w:rsidR="00D51114" w:rsidRPr="00CA34F5" w:rsidRDefault="00D51114" w:rsidP="000A4C31">
      <w:pPr>
        <w:spacing w:after="0" w:line="240" w:lineRule="auto"/>
        <w:jc w:val="both"/>
        <w:rPr>
          <w:rFonts w:ascii="Arial" w:hAnsi="Arial" w:cs="Arial"/>
          <w:b/>
        </w:rPr>
      </w:pPr>
    </w:p>
    <w:tbl>
      <w:tblPr>
        <w:tblW w:w="8940" w:type="dxa"/>
        <w:jc w:val="center"/>
        <w:tblCellMar>
          <w:left w:w="70" w:type="dxa"/>
          <w:right w:w="70" w:type="dxa"/>
        </w:tblCellMar>
        <w:tblLook w:val="04A0" w:firstRow="1" w:lastRow="0" w:firstColumn="1" w:lastColumn="0" w:noHBand="0" w:noVBand="1"/>
      </w:tblPr>
      <w:tblGrid>
        <w:gridCol w:w="4060"/>
        <w:gridCol w:w="1670"/>
        <w:gridCol w:w="1670"/>
        <w:gridCol w:w="1540"/>
      </w:tblGrid>
      <w:tr w:rsidR="00153603" w:rsidRPr="00CA34F5" w14:paraId="0AFC59DD" w14:textId="77777777" w:rsidTr="00045AA2">
        <w:trPr>
          <w:trHeight w:val="1035"/>
          <w:jc w:val="center"/>
        </w:trPr>
        <w:tc>
          <w:tcPr>
            <w:tcW w:w="4320"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4684391F" w14:textId="77777777" w:rsidR="00153603" w:rsidRPr="00CA34F5" w:rsidRDefault="00153603" w:rsidP="00267429">
            <w:pPr>
              <w:spacing w:after="0" w:line="240" w:lineRule="auto"/>
              <w:jc w:val="both"/>
              <w:rPr>
                <w:rFonts w:ascii="Arial" w:eastAsia="Times New Roman" w:hAnsi="Arial" w:cs="Arial"/>
                <w:b/>
                <w:bCs/>
                <w:color w:val="000000"/>
                <w:lang w:eastAsia="es-MX"/>
              </w:rPr>
            </w:pPr>
            <w:r w:rsidRPr="00CA34F5">
              <w:rPr>
                <w:rFonts w:ascii="Arial" w:eastAsia="Times New Roman" w:hAnsi="Arial" w:cs="Arial"/>
                <w:b/>
                <w:bCs/>
                <w:color w:val="000000"/>
                <w:lang w:eastAsia="es-MX"/>
              </w:rPr>
              <w:lastRenderedPageBreak/>
              <w:t>Rubros que integran el grupo Participaciones, Aportaciones, Convenios, Incentivos Derivados de la Colaboración Fiscal y Fondos Distintos de Aportaciones</w:t>
            </w:r>
          </w:p>
        </w:tc>
        <w:tc>
          <w:tcPr>
            <w:tcW w:w="1540" w:type="dxa"/>
            <w:tcBorders>
              <w:top w:val="single" w:sz="8" w:space="0" w:color="auto"/>
              <w:left w:val="nil"/>
              <w:bottom w:val="single" w:sz="8" w:space="0" w:color="auto"/>
              <w:right w:val="single" w:sz="8" w:space="0" w:color="auto"/>
            </w:tcBorders>
            <w:shd w:val="clear" w:color="000000" w:fill="A6A6A6"/>
            <w:vAlign w:val="center"/>
            <w:hideMark/>
          </w:tcPr>
          <w:p w14:paraId="59903D9E" w14:textId="77777777" w:rsidR="00153603" w:rsidRPr="00CA34F5" w:rsidRDefault="00153603" w:rsidP="00153603">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Detalle</w:t>
            </w:r>
          </w:p>
        </w:tc>
        <w:tc>
          <w:tcPr>
            <w:tcW w:w="1540" w:type="dxa"/>
            <w:tcBorders>
              <w:top w:val="single" w:sz="8" w:space="0" w:color="auto"/>
              <w:left w:val="nil"/>
              <w:bottom w:val="single" w:sz="8" w:space="0" w:color="auto"/>
              <w:right w:val="single" w:sz="8" w:space="0" w:color="auto"/>
            </w:tcBorders>
            <w:shd w:val="clear" w:color="000000" w:fill="A6A6A6"/>
            <w:vAlign w:val="center"/>
            <w:hideMark/>
          </w:tcPr>
          <w:p w14:paraId="0D98AAB2" w14:textId="77777777" w:rsidR="00153603" w:rsidRPr="00CA34F5" w:rsidRDefault="00153603" w:rsidP="00153603">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Importe</w:t>
            </w:r>
          </w:p>
        </w:tc>
        <w:tc>
          <w:tcPr>
            <w:tcW w:w="1540" w:type="dxa"/>
            <w:tcBorders>
              <w:top w:val="single" w:sz="8" w:space="0" w:color="auto"/>
              <w:left w:val="nil"/>
              <w:bottom w:val="single" w:sz="8" w:space="0" w:color="auto"/>
              <w:right w:val="single" w:sz="8" w:space="0" w:color="auto"/>
            </w:tcBorders>
            <w:shd w:val="clear" w:color="000000" w:fill="A6A6A6"/>
            <w:vAlign w:val="center"/>
            <w:hideMark/>
          </w:tcPr>
          <w:p w14:paraId="34D92F67" w14:textId="77777777" w:rsidR="00153603" w:rsidRPr="00CA34F5" w:rsidRDefault="00153603" w:rsidP="00153603">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w:t>
            </w:r>
          </w:p>
        </w:tc>
      </w:tr>
      <w:tr w:rsidR="00153603" w:rsidRPr="00CA34F5" w14:paraId="46D1792D" w14:textId="77777777" w:rsidTr="00045AA2">
        <w:trPr>
          <w:trHeight w:val="25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0E1025CA" w14:textId="77777777" w:rsidR="00153603" w:rsidRPr="00CA34F5" w:rsidRDefault="00153603" w:rsidP="00153603">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Participaciones</w:t>
            </w:r>
          </w:p>
        </w:tc>
        <w:tc>
          <w:tcPr>
            <w:tcW w:w="1540" w:type="dxa"/>
            <w:tcBorders>
              <w:top w:val="nil"/>
              <w:left w:val="nil"/>
              <w:bottom w:val="single" w:sz="4" w:space="0" w:color="auto"/>
              <w:right w:val="single" w:sz="4" w:space="0" w:color="auto"/>
            </w:tcBorders>
            <w:shd w:val="clear" w:color="000000" w:fill="FFFFFF"/>
            <w:hideMark/>
          </w:tcPr>
          <w:p w14:paraId="1C867A32" w14:textId="77777777" w:rsidR="00153603" w:rsidRPr="00CA34F5" w:rsidRDefault="00153603" w:rsidP="00153603">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25,364,679,243</w:t>
            </w:r>
          </w:p>
        </w:tc>
        <w:tc>
          <w:tcPr>
            <w:tcW w:w="15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0A9266" w14:textId="77777777" w:rsidR="00153603" w:rsidRPr="00CA34F5" w:rsidRDefault="00153603" w:rsidP="006C6DF7">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53,382,015,327</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9F42C6" w14:textId="77777777" w:rsidR="00153603" w:rsidRPr="00CA34F5" w:rsidRDefault="00153603" w:rsidP="00153603">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100</w:t>
            </w:r>
          </w:p>
        </w:tc>
      </w:tr>
      <w:tr w:rsidR="00153603" w:rsidRPr="00CA34F5" w14:paraId="2F295482" w14:textId="77777777" w:rsidTr="00045AA2">
        <w:trPr>
          <w:trHeight w:val="25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D22859E" w14:textId="77777777" w:rsidR="00153603" w:rsidRPr="00CA34F5" w:rsidRDefault="00153603" w:rsidP="00153603">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Aportaciones</w:t>
            </w:r>
          </w:p>
        </w:tc>
        <w:tc>
          <w:tcPr>
            <w:tcW w:w="1540" w:type="dxa"/>
            <w:tcBorders>
              <w:top w:val="nil"/>
              <w:left w:val="nil"/>
              <w:bottom w:val="single" w:sz="4" w:space="0" w:color="auto"/>
              <w:right w:val="single" w:sz="4" w:space="0" w:color="auto"/>
            </w:tcBorders>
            <w:shd w:val="clear" w:color="000000" w:fill="FFFFFF"/>
            <w:hideMark/>
          </w:tcPr>
          <w:p w14:paraId="606CE92B" w14:textId="77777777" w:rsidR="00153603" w:rsidRPr="00CA34F5" w:rsidRDefault="00153603" w:rsidP="00153603">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17,024,226,757</w:t>
            </w:r>
          </w:p>
        </w:tc>
        <w:tc>
          <w:tcPr>
            <w:tcW w:w="1540" w:type="dxa"/>
            <w:vMerge/>
            <w:tcBorders>
              <w:top w:val="nil"/>
              <w:left w:val="single" w:sz="4" w:space="0" w:color="auto"/>
              <w:bottom w:val="single" w:sz="4" w:space="0" w:color="auto"/>
              <w:right w:val="single" w:sz="4" w:space="0" w:color="auto"/>
            </w:tcBorders>
            <w:vAlign w:val="center"/>
            <w:hideMark/>
          </w:tcPr>
          <w:p w14:paraId="4D3A10AE"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c>
          <w:tcPr>
            <w:tcW w:w="1540" w:type="dxa"/>
            <w:vMerge/>
            <w:tcBorders>
              <w:top w:val="nil"/>
              <w:left w:val="single" w:sz="4" w:space="0" w:color="auto"/>
              <w:bottom w:val="single" w:sz="4" w:space="0" w:color="auto"/>
              <w:right w:val="single" w:sz="4" w:space="0" w:color="auto"/>
            </w:tcBorders>
            <w:vAlign w:val="center"/>
            <w:hideMark/>
          </w:tcPr>
          <w:p w14:paraId="479EB8EE" w14:textId="77777777" w:rsidR="00153603" w:rsidRPr="00CA34F5" w:rsidRDefault="00153603" w:rsidP="00153603">
            <w:pPr>
              <w:spacing w:after="0" w:line="240" w:lineRule="auto"/>
              <w:jc w:val="left"/>
              <w:rPr>
                <w:rFonts w:ascii="Arial" w:eastAsia="Times New Roman" w:hAnsi="Arial" w:cs="Arial"/>
                <w:color w:val="000000"/>
                <w:lang w:eastAsia="es-MX"/>
              </w:rPr>
            </w:pPr>
          </w:p>
        </w:tc>
      </w:tr>
      <w:tr w:rsidR="00153603" w:rsidRPr="00CA34F5" w14:paraId="4639C605" w14:textId="77777777" w:rsidTr="00045AA2">
        <w:trPr>
          <w:trHeight w:val="25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F9BD518" w14:textId="77777777" w:rsidR="00153603" w:rsidRPr="00CA34F5" w:rsidRDefault="00153603" w:rsidP="00153603">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Convenios</w:t>
            </w:r>
          </w:p>
        </w:tc>
        <w:tc>
          <w:tcPr>
            <w:tcW w:w="1540" w:type="dxa"/>
            <w:tcBorders>
              <w:top w:val="nil"/>
              <w:left w:val="nil"/>
              <w:bottom w:val="single" w:sz="4" w:space="0" w:color="auto"/>
              <w:right w:val="single" w:sz="4" w:space="0" w:color="auto"/>
            </w:tcBorders>
            <w:shd w:val="clear" w:color="000000" w:fill="FFFFFF"/>
            <w:hideMark/>
          </w:tcPr>
          <w:p w14:paraId="784AD9B3" w14:textId="77777777" w:rsidR="00153603" w:rsidRPr="00CA34F5" w:rsidRDefault="00153603" w:rsidP="00153603">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8,571,810,254</w:t>
            </w:r>
          </w:p>
        </w:tc>
        <w:tc>
          <w:tcPr>
            <w:tcW w:w="1540" w:type="dxa"/>
            <w:vMerge/>
            <w:tcBorders>
              <w:top w:val="nil"/>
              <w:left w:val="single" w:sz="4" w:space="0" w:color="auto"/>
              <w:bottom w:val="single" w:sz="4" w:space="0" w:color="auto"/>
              <w:right w:val="single" w:sz="4" w:space="0" w:color="auto"/>
            </w:tcBorders>
            <w:vAlign w:val="center"/>
            <w:hideMark/>
          </w:tcPr>
          <w:p w14:paraId="6A8E9C04"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c>
          <w:tcPr>
            <w:tcW w:w="1540" w:type="dxa"/>
            <w:vMerge/>
            <w:tcBorders>
              <w:top w:val="nil"/>
              <w:left w:val="single" w:sz="4" w:space="0" w:color="auto"/>
              <w:bottom w:val="single" w:sz="4" w:space="0" w:color="auto"/>
              <w:right w:val="single" w:sz="4" w:space="0" w:color="auto"/>
            </w:tcBorders>
            <w:vAlign w:val="center"/>
            <w:hideMark/>
          </w:tcPr>
          <w:p w14:paraId="7C04262F" w14:textId="77777777" w:rsidR="00153603" w:rsidRPr="00CA34F5" w:rsidRDefault="00153603" w:rsidP="00153603">
            <w:pPr>
              <w:spacing w:after="0" w:line="240" w:lineRule="auto"/>
              <w:jc w:val="left"/>
              <w:rPr>
                <w:rFonts w:ascii="Arial" w:eastAsia="Times New Roman" w:hAnsi="Arial" w:cs="Arial"/>
                <w:color w:val="000000"/>
                <w:lang w:eastAsia="es-MX"/>
              </w:rPr>
            </w:pPr>
          </w:p>
        </w:tc>
      </w:tr>
      <w:tr w:rsidR="00153603" w:rsidRPr="00CA34F5" w14:paraId="7057A363" w14:textId="77777777" w:rsidTr="00045AA2">
        <w:trPr>
          <w:trHeight w:val="25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16E8BDA" w14:textId="77777777" w:rsidR="00153603" w:rsidRPr="00CA34F5" w:rsidRDefault="00153603" w:rsidP="00153603">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Incentivos Derivados de la Colaboración Fiscal</w:t>
            </w:r>
          </w:p>
        </w:tc>
        <w:tc>
          <w:tcPr>
            <w:tcW w:w="1540" w:type="dxa"/>
            <w:tcBorders>
              <w:top w:val="nil"/>
              <w:left w:val="nil"/>
              <w:bottom w:val="single" w:sz="4" w:space="0" w:color="auto"/>
              <w:right w:val="single" w:sz="4" w:space="0" w:color="auto"/>
            </w:tcBorders>
            <w:shd w:val="clear" w:color="000000" w:fill="FFFFFF"/>
            <w:hideMark/>
          </w:tcPr>
          <w:p w14:paraId="78F80275" w14:textId="77777777" w:rsidR="00153603" w:rsidRPr="00CA34F5" w:rsidRDefault="00153603" w:rsidP="00153603">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922,083,336</w:t>
            </w:r>
          </w:p>
        </w:tc>
        <w:tc>
          <w:tcPr>
            <w:tcW w:w="1540" w:type="dxa"/>
            <w:vMerge/>
            <w:tcBorders>
              <w:top w:val="nil"/>
              <w:left w:val="single" w:sz="4" w:space="0" w:color="auto"/>
              <w:bottom w:val="single" w:sz="4" w:space="0" w:color="auto"/>
              <w:right w:val="single" w:sz="4" w:space="0" w:color="auto"/>
            </w:tcBorders>
            <w:vAlign w:val="center"/>
            <w:hideMark/>
          </w:tcPr>
          <w:p w14:paraId="5D8341A8"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c>
          <w:tcPr>
            <w:tcW w:w="1540" w:type="dxa"/>
            <w:vMerge/>
            <w:tcBorders>
              <w:top w:val="nil"/>
              <w:left w:val="single" w:sz="4" w:space="0" w:color="auto"/>
              <w:bottom w:val="single" w:sz="4" w:space="0" w:color="auto"/>
              <w:right w:val="single" w:sz="4" w:space="0" w:color="auto"/>
            </w:tcBorders>
            <w:vAlign w:val="center"/>
            <w:hideMark/>
          </w:tcPr>
          <w:p w14:paraId="0F7AAD51" w14:textId="77777777" w:rsidR="00153603" w:rsidRPr="00CA34F5" w:rsidRDefault="00153603" w:rsidP="00153603">
            <w:pPr>
              <w:spacing w:after="0" w:line="240" w:lineRule="auto"/>
              <w:jc w:val="left"/>
              <w:rPr>
                <w:rFonts w:ascii="Arial" w:eastAsia="Times New Roman" w:hAnsi="Arial" w:cs="Arial"/>
                <w:color w:val="000000"/>
                <w:lang w:eastAsia="es-MX"/>
              </w:rPr>
            </w:pPr>
          </w:p>
        </w:tc>
      </w:tr>
      <w:tr w:rsidR="00153603" w:rsidRPr="00CA34F5" w14:paraId="30968694" w14:textId="77777777" w:rsidTr="00045AA2">
        <w:trPr>
          <w:trHeight w:val="25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D23F82F" w14:textId="77777777" w:rsidR="00153603" w:rsidRPr="00CA34F5" w:rsidRDefault="00153603" w:rsidP="00153603">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Fondos Distintos de Aportaciones</w:t>
            </w:r>
          </w:p>
        </w:tc>
        <w:tc>
          <w:tcPr>
            <w:tcW w:w="1540" w:type="dxa"/>
            <w:tcBorders>
              <w:top w:val="nil"/>
              <w:left w:val="nil"/>
              <w:bottom w:val="single" w:sz="4" w:space="0" w:color="auto"/>
              <w:right w:val="single" w:sz="4" w:space="0" w:color="auto"/>
            </w:tcBorders>
            <w:shd w:val="clear" w:color="000000" w:fill="FFFFFF"/>
            <w:hideMark/>
          </w:tcPr>
          <w:p w14:paraId="17F52095" w14:textId="77777777" w:rsidR="00153603" w:rsidRPr="00CA34F5" w:rsidRDefault="00153603" w:rsidP="00153603">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1,499,215,738</w:t>
            </w:r>
          </w:p>
        </w:tc>
        <w:tc>
          <w:tcPr>
            <w:tcW w:w="1540" w:type="dxa"/>
            <w:vMerge/>
            <w:tcBorders>
              <w:top w:val="nil"/>
              <w:left w:val="single" w:sz="4" w:space="0" w:color="auto"/>
              <w:bottom w:val="single" w:sz="4" w:space="0" w:color="auto"/>
              <w:right w:val="single" w:sz="4" w:space="0" w:color="auto"/>
            </w:tcBorders>
            <w:vAlign w:val="center"/>
            <w:hideMark/>
          </w:tcPr>
          <w:p w14:paraId="31EFB132" w14:textId="77777777" w:rsidR="00153603" w:rsidRPr="00CA34F5" w:rsidRDefault="00153603" w:rsidP="00153603">
            <w:pPr>
              <w:spacing w:after="0" w:line="240" w:lineRule="auto"/>
              <w:jc w:val="left"/>
              <w:rPr>
                <w:rFonts w:ascii="Arial" w:eastAsia="Times New Roman" w:hAnsi="Arial" w:cs="Arial"/>
                <w:b/>
                <w:bCs/>
                <w:color w:val="000000"/>
                <w:lang w:eastAsia="es-MX"/>
              </w:rPr>
            </w:pPr>
          </w:p>
        </w:tc>
        <w:tc>
          <w:tcPr>
            <w:tcW w:w="1540" w:type="dxa"/>
            <w:vMerge/>
            <w:tcBorders>
              <w:top w:val="nil"/>
              <w:left w:val="single" w:sz="4" w:space="0" w:color="auto"/>
              <w:bottom w:val="single" w:sz="4" w:space="0" w:color="auto"/>
              <w:right w:val="single" w:sz="4" w:space="0" w:color="auto"/>
            </w:tcBorders>
            <w:vAlign w:val="center"/>
            <w:hideMark/>
          </w:tcPr>
          <w:p w14:paraId="536DA66D" w14:textId="77777777" w:rsidR="00153603" w:rsidRPr="00CA34F5" w:rsidRDefault="00153603" w:rsidP="00153603">
            <w:pPr>
              <w:spacing w:after="0" w:line="240" w:lineRule="auto"/>
              <w:jc w:val="left"/>
              <w:rPr>
                <w:rFonts w:ascii="Arial" w:eastAsia="Times New Roman" w:hAnsi="Arial" w:cs="Arial"/>
                <w:color w:val="000000"/>
                <w:lang w:eastAsia="es-MX"/>
              </w:rPr>
            </w:pPr>
          </w:p>
        </w:tc>
      </w:tr>
      <w:tr w:rsidR="00153603" w:rsidRPr="00CA34F5" w14:paraId="664F6A27" w14:textId="77777777" w:rsidTr="00045AA2">
        <w:trPr>
          <w:trHeight w:val="270"/>
          <w:jc w:val="center"/>
        </w:trPr>
        <w:tc>
          <w:tcPr>
            <w:tcW w:w="4320" w:type="dxa"/>
            <w:tcBorders>
              <w:top w:val="nil"/>
              <w:left w:val="single" w:sz="4" w:space="0" w:color="auto"/>
              <w:bottom w:val="nil"/>
              <w:right w:val="single" w:sz="4" w:space="0" w:color="auto"/>
            </w:tcBorders>
            <w:shd w:val="clear" w:color="auto" w:fill="auto"/>
            <w:vAlign w:val="center"/>
            <w:hideMark/>
          </w:tcPr>
          <w:p w14:paraId="19B5B396" w14:textId="77777777" w:rsidR="00153603" w:rsidRPr="00CA34F5" w:rsidRDefault="00153603" w:rsidP="00153603">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Total</w:t>
            </w:r>
          </w:p>
        </w:tc>
        <w:tc>
          <w:tcPr>
            <w:tcW w:w="3080" w:type="dxa"/>
            <w:gridSpan w:val="2"/>
            <w:tcBorders>
              <w:top w:val="single" w:sz="4" w:space="0" w:color="auto"/>
              <w:left w:val="nil"/>
              <w:bottom w:val="nil"/>
              <w:right w:val="single" w:sz="4" w:space="0" w:color="auto"/>
            </w:tcBorders>
            <w:shd w:val="clear" w:color="auto" w:fill="auto"/>
            <w:vAlign w:val="center"/>
            <w:hideMark/>
          </w:tcPr>
          <w:p w14:paraId="6AB73078" w14:textId="77777777" w:rsidR="00153603" w:rsidRPr="00CA34F5" w:rsidRDefault="00153603" w:rsidP="00153603">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53,382,015,327</w:t>
            </w:r>
          </w:p>
        </w:tc>
        <w:tc>
          <w:tcPr>
            <w:tcW w:w="1540" w:type="dxa"/>
            <w:tcBorders>
              <w:top w:val="nil"/>
              <w:left w:val="nil"/>
              <w:bottom w:val="nil"/>
              <w:right w:val="single" w:sz="4" w:space="0" w:color="auto"/>
            </w:tcBorders>
            <w:shd w:val="clear" w:color="auto" w:fill="auto"/>
            <w:noWrap/>
            <w:vAlign w:val="center"/>
            <w:hideMark/>
          </w:tcPr>
          <w:p w14:paraId="10CB6787" w14:textId="77777777" w:rsidR="00153603" w:rsidRPr="00CA34F5" w:rsidRDefault="00153603" w:rsidP="00153603">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100</w:t>
            </w:r>
          </w:p>
        </w:tc>
      </w:tr>
      <w:tr w:rsidR="00153603" w:rsidRPr="00CA34F5" w14:paraId="40A3865D" w14:textId="77777777" w:rsidTr="00045AA2">
        <w:trPr>
          <w:trHeight w:val="780"/>
          <w:jc w:val="center"/>
        </w:trPr>
        <w:tc>
          <w:tcPr>
            <w:tcW w:w="4320"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0FA83848" w14:textId="77777777" w:rsidR="00153603" w:rsidRPr="00CA34F5" w:rsidRDefault="00153603" w:rsidP="00267429">
            <w:pPr>
              <w:spacing w:after="0" w:line="240" w:lineRule="auto"/>
              <w:jc w:val="both"/>
              <w:rPr>
                <w:rFonts w:ascii="Arial" w:eastAsia="Times New Roman" w:hAnsi="Arial" w:cs="Arial"/>
                <w:b/>
                <w:bCs/>
                <w:color w:val="000000"/>
                <w:lang w:eastAsia="es-MX"/>
              </w:rPr>
            </w:pPr>
            <w:r w:rsidRPr="00CA34F5">
              <w:rPr>
                <w:rFonts w:ascii="Arial" w:eastAsia="Times New Roman" w:hAnsi="Arial" w:cs="Arial"/>
                <w:b/>
                <w:bCs/>
                <w:color w:val="000000"/>
                <w:lang w:eastAsia="es-MX"/>
              </w:rPr>
              <w:t>Rubro que integra Transferencias, Asignaciones, Subsidios y Subvenciones y Pensiones y Jubilaciones</w:t>
            </w:r>
          </w:p>
        </w:tc>
        <w:tc>
          <w:tcPr>
            <w:tcW w:w="1540" w:type="dxa"/>
            <w:tcBorders>
              <w:top w:val="single" w:sz="8" w:space="0" w:color="auto"/>
              <w:left w:val="nil"/>
              <w:bottom w:val="single" w:sz="8" w:space="0" w:color="auto"/>
              <w:right w:val="single" w:sz="8" w:space="0" w:color="auto"/>
            </w:tcBorders>
            <w:shd w:val="clear" w:color="000000" w:fill="A6A6A6"/>
            <w:vAlign w:val="center"/>
            <w:hideMark/>
          </w:tcPr>
          <w:p w14:paraId="4383DB07" w14:textId="77777777" w:rsidR="00153603" w:rsidRPr="00CA34F5" w:rsidRDefault="00153603" w:rsidP="00153603">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Detalle</w:t>
            </w:r>
          </w:p>
        </w:tc>
        <w:tc>
          <w:tcPr>
            <w:tcW w:w="1540" w:type="dxa"/>
            <w:tcBorders>
              <w:top w:val="single" w:sz="8" w:space="0" w:color="auto"/>
              <w:left w:val="nil"/>
              <w:bottom w:val="single" w:sz="8" w:space="0" w:color="auto"/>
              <w:right w:val="single" w:sz="8" w:space="0" w:color="auto"/>
            </w:tcBorders>
            <w:shd w:val="clear" w:color="000000" w:fill="A6A6A6"/>
            <w:vAlign w:val="center"/>
            <w:hideMark/>
          </w:tcPr>
          <w:p w14:paraId="34767037" w14:textId="77777777" w:rsidR="00153603" w:rsidRPr="00CA34F5" w:rsidRDefault="00153603" w:rsidP="00153603">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Importe</w:t>
            </w:r>
          </w:p>
        </w:tc>
        <w:tc>
          <w:tcPr>
            <w:tcW w:w="1540" w:type="dxa"/>
            <w:tcBorders>
              <w:top w:val="single" w:sz="8" w:space="0" w:color="auto"/>
              <w:left w:val="nil"/>
              <w:bottom w:val="single" w:sz="8" w:space="0" w:color="auto"/>
              <w:right w:val="single" w:sz="8" w:space="0" w:color="auto"/>
            </w:tcBorders>
            <w:shd w:val="clear" w:color="000000" w:fill="A6A6A6"/>
            <w:vAlign w:val="center"/>
            <w:hideMark/>
          </w:tcPr>
          <w:p w14:paraId="3EBBAB33" w14:textId="77777777" w:rsidR="00153603" w:rsidRPr="00CA34F5" w:rsidRDefault="00153603" w:rsidP="00153603">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w:t>
            </w:r>
          </w:p>
        </w:tc>
      </w:tr>
      <w:tr w:rsidR="00153603" w:rsidRPr="00CA34F5" w14:paraId="5DA770C0" w14:textId="77777777" w:rsidTr="00045AA2">
        <w:trPr>
          <w:trHeight w:val="25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C667886" w14:textId="77777777" w:rsidR="00153603" w:rsidRPr="00CA34F5" w:rsidRDefault="00153603" w:rsidP="00153603">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Subsidios y Subvenciones</w:t>
            </w:r>
          </w:p>
        </w:tc>
        <w:tc>
          <w:tcPr>
            <w:tcW w:w="1540" w:type="dxa"/>
            <w:tcBorders>
              <w:top w:val="nil"/>
              <w:left w:val="nil"/>
              <w:bottom w:val="single" w:sz="4" w:space="0" w:color="auto"/>
              <w:right w:val="single" w:sz="4" w:space="0" w:color="auto"/>
            </w:tcBorders>
            <w:shd w:val="clear" w:color="000000" w:fill="FFFFFF"/>
            <w:hideMark/>
          </w:tcPr>
          <w:p w14:paraId="622A853E" w14:textId="77777777" w:rsidR="00153603" w:rsidRPr="00CA34F5" w:rsidRDefault="00153603" w:rsidP="00153603">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1,081,629</w:t>
            </w:r>
          </w:p>
        </w:tc>
        <w:tc>
          <w:tcPr>
            <w:tcW w:w="1540" w:type="dxa"/>
            <w:tcBorders>
              <w:top w:val="nil"/>
              <w:left w:val="nil"/>
              <w:bottom w:val="single" w:sz="4" w:space="0" w:color="auto"/>
              <w:right w:val="single" w:sz="4" w:space="0" w:color="auto"/>
            </w:tcBorders>
            <w:shd w:val="clear" w:color="auto" w:fill="auto"/>
            <w:vAlign w:val="center"/>
            <w:hideMark/>
          </w:tcPr>
          <w:p w14:paraId="14469031" w14:textId="77777777" w:rsidR="00153603" w:rsidRPr="00CA34F5" w:rsidRDefault="00153603" w:rsidP="00153603">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1,081,629</w:t>
            </w:r>
          </w:p>
        </w:tc>
        <w:tc>
          <w:tcPr>
            <w:tcW w:w="1540" w:type="dxa"/>
            <w:tcBorders>
              <w:top w:val="nil"/>
              <w:left w:val="nil"/>
              <w:bottom w:val="single" w:sz="4" w:space="0" w:color="auto"/>
              <w:right w:val="single" w:sz="4" w:space="0" w:color="auto"/>
            </w:tcBorders>
            <w:shd w:val="clear" w:color="auto" w:fill="auto"/>
            <w:noWrap/>
            <w:vAlign w:val="center"/>
            <w:hideMark/>
          </w:tcPr>
          <w:p w14:paraId="72165428" w14:textId="77777777" w:rsidR="00153603" w:rsidRPr="00CA34F5" w:rsidRDefault="00153603" w:rsidP="00153603">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100</w:t>
            </w:r>
          </w:p>
        </w:tc>
      </w:tr>
    </w:tbl>
    <w:p w14:paraId="280925AB" w14:textId="77777777" w:rsidR="0000372E" w:rsidRPr="00CA34F5" w:rsidRDefault="0000372E" w:rsidP="000A4C31">
      <w:pPr>
        <w:spacing w:after="0" w:line="240" w:lineRule="auto"/>
        <w:jc w:val="both"/>
        <w:rPr>
          <w:rFonts w:ascii="Arial" w:hAnsi="Arial" w:cs="Arial"/>
          <w:b/>
          <w:lang w:val="es-ES"/>
        </w:rPr>
      </w:pPr>
    </w:p>
    <w:p w14:paraId="7364AB5C" w14:textId="77777777" w:rsidR="004E1AA9" w:rsidRPr="00CA34F5" w:rsidRDefault="004E1AA9" w:rsidP="000A4C31">
      <w:pPr>
        <w:spacing w:after="0" w:line="240" w:lineRule="auto"/>
        <w:jc w:val="both"/>
        <w:rPr>
          <w:rFonts w:ascii="Arial" w:hAnsi="Arial" w:cs="Arial"/>
          <w:b/>
          <w:lang w:val="es-ES"/>
        </w:rPr>
      </w:pPr>
    </w:p>
    <w:p w14:paraId="0CB3BCFF" w14:textId="77777777" w:rsidR="0022444E" w:rsidRPr="00CA34F5" w:rsidRDefault="0022444E" w:rsidP="000A4C31">
      <w:pPr>
        <w:spacing w:after="0" w:line="240" w:lineRule="auto"/>
        <w:jc w:val="both"/>
        <w:rPr>
          <w:rFonts w:ascii="Arial" w:hAnsi="Arial" w:cs="Arial"/>
          <w:b/>
          <w:lang w:val="es-ES"/>
        </w:rPr>
      </w:pPr>
    </w:p>
    <w:p w14:paraId="6666471F" w14:textId="77777777" w:rsidR="0022444E" w:rsidRPr="00CA34F5" w:rsidRDefault="0022444E" w:rsidP="000A4C31">
      <w:pPr>
        <w:spacing w:after="0" w:line="240" w:lineRule="auto"/>
        <w:jc w:val="both"/>
        <w:rPr>
          <w:rFonts w:ascii="Arial" w:hAnsi="Arial" w:cs="Arial"/>
          <w:b/>
          <w:lang w:val="es-ES"/>
        </w:rPr>
      </w:pPr>
    </w:p>
    <w:p w14:paraId="740A2A4F" w14:textId="77777777" w:rsidR="009D79C6" w:rsidRPr="00CA34F5" w:rsidRDefault="009D79C6" w:rsidP="000A4C31">
      <w:pPr>
        <w:spacing w:after="0" w:line="240" w:lineRule="auto"/>
        <w:jc w:val="both"/>
        <w:rPr>
          <w:rFonts w:ascii="Arial" w:hAnsi="Arial" w:cs="Arial"/>
          <w:b/>
          <w:lang w:val="es-ES"/>
        </w:rPr>
      </w:pPr>
      <w:r w:rsidRPr="00CA34F5">
        <w:rPr>
          <w:rFonts w:ascii="Arial" w:hAnsi="Arial" w:cs="Arial"/>
          <w:b/>
          <w:lang w:val="es-ES"/>
        </w:rPr>
        <w:t>Otros Ingresos y Beneficios</w:t>
      </w:r>
    </w:p>
    <w:p w14:paraId="450609B1" w14:textId="0542E9FB" w:rsidR="009D79C6" w:rsidRPr="00CA34F5" w:rsidRDefault="009D79C6" w:rsidP="000A4C31">
      <w:pPr>
        <w:spacing w:before="240" w:line="240" w:lineRule="auto"/>
        <w:jc w:val="both"/>
        <w:rPr>
          <w:rFonts w:ascii="Arial" w:hAnsi="Arial" w:cs="Arial"/>
          <w:lang w:val="es-ES"/>
        </w:rPr>
      </w:pPr>
      <w:r w:rsidRPr="00CA34F5">
        <w:rPr>
          <w:rFonts w:ascii="Arial" w:hAnsi="Arial" w:cs="Arial"/>
          <w:lang w:val="es-ES"/>
        </w:rPr>
        <w:t>No se tienen ingresos en los</w:t>
      </w:r>
      <w:r w:rsidR="00E507A4" w:rsidRPr="00CA34F5">
        <w:rPr>
          <w:rFonts w:ascii="Arial" w:hAnsi="Arial" w:cs="Arial"/>
          <w:lang w:val="es-ES"/>
        </w:rPr>
        <w:t xml:space="preserve"> rubros que integran este grupo</w:t>
      </w:r>
      <w:r w:rsidRPr="00CA34F5">
        <w:rPr>
          <w:rFonts w:ascii="Arial" w:hAnsi="Arial" w:cs="Arial"/>
          <w:lang w:val="es-ES"/>
        </w:rPr>
        <w:t xml:space="preserve"> contable.</w:t>
      </w:r>
    </w:p>
    <w:p w14:paraId="29D84194" w14:textId="078F8828" w:rsidR="008F5779" w:rsidRPr="00CA34F5" w:rsidRDefault="009E29D2" w:rsidP="008F5779">
      <w:pPr>
        <w:jc w:val="both"/>
        <w:rPr>
          <w:rFonts w:ascii="Arial" w:hAnsi="Arial" w:cs="Arial"/>
          <w:b/>
          <w:u w:val="single"/>
        </w:rPr>
      </w:pPr>
      <w:r w:rsidRPr="00CA34F5">
        <w:rPr>
          <w:rFonts w:ascii="Arial" w:hAnsi="Arial" w:cs="Arial"/>
          <w:b/>
          <w:u w:val="single"/>
          <w:lang w:val="es-ES"/>
        </w:rPr>
        <w:t>Gastos y Otras Pérdidas</w:t>
      </w:r>
      <w:r w:rsidR="0094548E" w:rsidRPr="00CA34F5">
        <w:rPr>
          <w:rFonts w:ascii="Arial" w:hAnsi="Arial" w:cs="Arial"/>
          <w:b/>
          <w:u w:val="single"/>
          <w:lang w:val="es-ES"/>
        </w:rPr>
        <w:t>: $</w:t>
      </w:r>
      <w:r w:rsidR="001F0404" w:rsidRPr="00CA34F5">
        <w:rPr>
          <w:rFonts w:ascii="Arial" w:hAnsi="Arial" w:cs="Arial"/>
          <w:b/>
          <w:u w:val="single"/>
        </w:rPr>
        <w:t>57</w:t>
      </w:r>
      <w:proofErr w:type="gramStart"/>
      <w:r w:rsidR="001F0404" w:rsidRPr="00CA34F5">
        <w:rPr>
          <w:rFonts w:ascii="Arial" w:hAnsi="Arial" w:cs="Arial"/>
          <w:b/>
          <w:u w:val="single"/>
        </w:rPr>
        <w:t>,897,778,216</w:t>
      </w:r>
      <w:proofErr w:type="gramEnd"/>
    </w:p>
    <w:p w14:paraId="17168222" w14:textId="77777777" w:rsidR="001F0404" w:rsidRPr="00CA34F5" w:rsidRDefault="001F0404" w:rsidP="009D0D62">
      <w:pPr>
        <w:spacing w:after="0" w:line="240" w:lineRule="auto"/>
        <w:jc w:val="both"/>
        <w:rPr>
          <w:rFonts w:ascii="Arial" w:eastAsia="Times New Roman" w:hAnsi="Arial" w:cs="Arial"/>
          <w:b/>
          <w:bCs/>
          <w:color w:val="000000"/>
          <w:lang w:eastAsia="es-MX"/>
        </w:rPr>
      </w:pPr>
    </w:p>
    <w:p w14:paraId="3429C36A" w14:textId="77777777" w:rsidR="009D0D62" w:rsidRPr="00CA34F5" w:rsidRDefault="009D0D62" w:rsidP="009D0D62">
      <w:pPr>
        <w:spacing w:after="0" w:line="240" w:lineRule="auto"/>
        <w:jc w:val="both"/>
        <w:rPr>
          <w:rFonts w:ascii="Arial" w:eastAsia="Times New Roman" w:hAnsi="Arial" w:cs="Arial"/>
          <w:b/>
          <w:bCs/>
          <w:color w:val="000000"/>
          <w:lang w:eastAsia="es-MX"/>
        </w:rPr>
      </w:pPr>
      <w:r w:rsidRPr="00CA34F5">
        <w:rPr>
          <w:rFonts w:ascii="Arial" w:eastAsia="Times New Roman" w:hAnsi="Arial" w:cs="Arial"/>
          <w:b/>
          <w:bCs/>
          <w:color w:val="000000"/>
          <w:lang w:eastAsia="es-MX"/>
        </w:rPr>
        <w:t>Gastos de Funcionamiento</w:t>
      </w:r>
    </w:p>
    <w:p w14:paraId="558B0F44" w14:textId="77777777" w:rsidR="001F0404" w:rsidRPr="00CA34F5" w:rsidRDefault="001F0404" w:rsidP="009D0D62">
      <w:pPr>
        <w:spacing w:after="0" w:line="240" w:lineRule="auto"/>
        <w:jc w:val="both"/>
        <w:rPr>
          <w:rFonts w:ascii="Arial" w:eastAsia="Times New Roman" w:hAnsi="Arial" w:cs="Arial"/>
          <w:b/>
          <w:bCs/>
          <w:color w:val="000000"/>
          <w:lang w:eastAsia="es-MX"/>
        </w:rPr>
      </w:pPr>
    </w:p>
    <w:tbl>
      <w:tblPr>
        <w:tblW w:w="10260" w:type="dxa"/>
        <w:jc w:val="center"/>
        <w:tblCellMar>
          <w:left w:w="70" w:type="dxa"/>
          <w:right w:w="70" w:type="dxa"/>
        </w:tblCellMar>
        <w:tblLook w:val="04A0" w:firstRow="1" w:lastRow="0" w:firstColumn="1" w:lastColumn="0" w:noHBand="0" w:noVBand="1"/>
      </w:tblPr>
      <w:tblGrid>
        <w:gridCol w:w="6280"/>
        <w:gridCol w:w="1780"/>
        <w:gridCol w:w="2200"/>
      </w:tblGrid>
      <w:tr w:rsidR="009D0D62" w:rsidRPr="00CA34F5" w14:paraId="1C4C1337" w14:textId="77777777" w:rsidTr="00045AA2">
        <w:trPr>
          <w:trHeight w:val="300"/>
          <w:jc w:val="center"/>
        </w:trPr>
        <w:tc>
          <w:tcPr>
            <w:tcW w:w="6280" w:type="dxa"/>
            <w:tcBorders>
              <w:top w:val="single" w:sz="8" w:space="0" w:color="auto"/>
              <w:left w:val="single" w:sz="8" w:space="0" w:color="auto"/>
              <w:bottom w:val="nil"/>
              <w:right w:val="single" w:sz="8" w:space="0" w:color="auto"/>
            </w:tcBorders>
            <w:shd w:val="clear" w:color="000000" w:fill="A6A6A6"/>
            <w:noWrap/>
            <w:vAlign w:val="center"/>
            <w:hideMark/>
          </w:tcPr>
          <w:p w14:paraId="7B6EE0A5" w14:textId="77777777" w:rsidR="009D0D62" w:rsidRPr="00CA34F5" w:rsidRDefault="009D0D62" w:rsidP="009D0D6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Rubros que integran el grupo de Gastos de Funcionamiento</w:t>
            </w:r>
          </w:p>
        </w:tc>
        <w:tc>
          <w:tcPr>
            <w:tcW w:w="1780" w:type="dxa"/>
            <w:tcBorders>
              <w:top w:val="single" w:sz="8" w:space="0" w:color="auto"/>
              <w:left w:val="nil"/>
              <w:bottom w:val="nil"/>
              <w:right w:val="single" w:sz="8" w:space="0" w:color="auto"/>
            </w:tcBorders>
            <w:shd w:val="clear" w:color="000000" w:fill="A6A6A6"/>
            <w:noWrap/>
            <w:vAlign w:val="center"/>
            <w:hideMark/>
          </w:tcPr>
          <w:p w14:paraId="67AD19C4" w14:textId="77777777" w:rsidR="009D0D62" w:rsidRPr="00CA34F5" w:rsidRDefault="009D0D62" w:rsidP="009D0D6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 Importes </w:t>
            </w:r>
          </w:p>
        </w:tc>
        <w:tc>
          <w:tcPr>
            <w:tcW w:w="2200" w:type="dxa"/>
            <w:tcBorders>
              <w:top w:val="single" w:sz="8" w:space="0" w:color="auto"/>
              <w:left w:val="nil"/>
              <w:bottom w:val="nil"/>
              <w:right w:val="single" w:sz="8" w:space="0" w:color="auto"/>
            </w:tcBorders>
            <w:shd w:val="clear" w:color="000000" w:fill="A6A6A6"/>
            <w:noWrap/>
            <w:vAlign w:val="center"/>
            <w:hideMark/>
          </w:tcPr>
          <w:p w14:paraId="76C26FE8" w14:textId="77777777" w:rsidR="009D0D62" w:rsidRPr="00CA34F5" w:rsidRDefault="009D0D62" w:rsidP="009D0D6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w:t>
            </w:r>
          </w:p>
        </w:tc>
      </w:tr>
      <w:tr w:rsidR="009D0D62" w:rsidRPr="00CA34F5" w14:paraId="322F0B4E" w14:textId="77777777" w:rsidTr="00045AA2">
        <w:trPr>
          <w:trHeight w:val="300"/>
          <w:jc w:val="center"/>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9E93E" w14:textId="77777777" w:rsidR="009D0D62" w:rsidRPr="00CA34F5" w:rsidRDefault="009D0D62" w:rsidP="009D0D6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Servicios Personales</w:t>
            </w:r>
          </w:p>
        </w:tc>
        <w:tc>
          <w:tcPr>
            <w:tcW w:w="1780" w:type="dxa"/>
            <w:tcBorders>
              <w:top w:val="single" w:sz="4" w:space="0" w:color="auto"/>
              <w:left w:val="nil"/>
              <w:bottom w:val="single" w:sz="4" w:space="0" w:color="auto"/>
              <w:right w:val="single" w:sz="4" w:space="0" w:color="auto"/>
            </w:tcBorders>
            <w:shd w:val="clear" w:color="000000" w:fill="FFFFFF"/>
            <w:hideMark/>
          </w:tcPr>
          <w:p w14:paraId="1EC5B536" w14:textId="77777777" w:rsidR="009D0D62" w:rsidRPr="00CA34F5" w:rsidRDefault="009D0D62" w:rsidP="009D0D6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20,222,028,379</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14:paraId="21C5893F" w14:textId="77777777" w:rsidR="009D0D62" w:rsidRPr="00CA34F5" w:rsidRDefault="009D0D62" w:rsidP="009D0D6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87.52</w:t>
            </w:r>
          </w:p>
        </w:tc>
      </w:tr>
      <w:tr w:rsidR="009D0D62" w:rsidRPr="00CA34F5" w14:paraId="454258DB" w14:textId="77777777" w:rsidTr="00045AA2">
        <w:trPr>
          <w:trHeight w:val="300"/>
          <w:jc w:val="center"/>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14:paraId="51D18BDF" w14:textId="77777777" w:rsidR="009D0D62" w:rsidRPr="00CA34F5" w:rsidRDefault="009D0D62" w:rsidP="009D0D6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Materiales y Suministros</w:t>
            </w:r>
          </w:p>
        </w:tc>
        <w:tc>
          <w:tcPr>
            <w:tcW w:w="1780" w:type="dxa"/>
            <w:tcBorders>
              <w:top w:val="nil"/>
              <w:left w:val="nil"/>
              <w:bottom w:val="single" w:sz="4" w:space="0" w:color="auto"/>
              <w:right w:val="single" w:sz="4" w:space="0" w:color="auto"/>
            </w:tcBorders>
            <w:shd w:val="clear" w:color="000000" w:fill="FFFFFF"/>
            <w:hideMark/>
          </w:tcPr>
          <w:p w14:paraId="6EEFD05C" w14:textId="77777777" w:rsidR="009D0D62" w:rsidRPr="00CA34F5" w:rsidRDefault="009D0D62" w:rsidP="009D0D6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1,242,178,255</w:t>
            </w:r>
          </w:p>
        </w:tc>
        <w:tc>
          <w:tcPr>
            <w:tcW w:w="2200" w:type="dxa"/>
            <w:tcBorders>
              <w:top w:val="nil"/>
              <w:left w:val="nil"/>
              <w:bottom w:val="single" w:sz="4" w:space="0" w:color="auto"/>
              <w:right w:val="single" w:sz="4" w:space="0" w:color="auto"/>
            </w:tcBorders>
            <w:shd w:val="clear" w:color="auto" w:fill="auto"/>
            <w:noWrap/>
            <w:vAlign w:val="center"/>
            <w:hideMark/>
          </w:tcPr>
          <w:p w14:paraId="01195E46" w14:textId="77777777" w:rsidR="009D0D62" w:rsidRPr="00CA34F5" w:rsidRDefault="009D0D62" w:rsidP="009D0D6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5.38</w:t>
            </w:r>
          </w:p>
        </w:tc>
      </w:tr>
      <w:tr w:rsidR="009D0D62" w:rsidRPr="00CA34F5" w14:paraId="01DFC2F9" w14:textId="77777777" w:rsidTr="00045AA2">
        <w:trPr>
          <w:trHeight w:val="315"/>
          <w:jc w:val="center"/>
        </w:trPr>
        <w:tc>
          <w:tcPr>
            <w:tcW w:w="6280" w:type="dxa"/>
            <w:tcBorders>
              <w:top w:val="nil"/>
              <w:left w:val="single" w:sz="4" w:space="0" w:color="auto"/>
              <w:bottom w:val="nil"/>
              <w:right w:val="single" w:sz="4" w:space="0" w:color="auto"/>
            </w:tcBorders>
            <w:shd w:val="clear" w:color="auto" w:fill="auto"/>
            <w:noWrap/>
            <w:vAlign w:val="center"/>
            <w:hideMark/>
          </w:tcPr>
          <w:p w14:paraId="1D579098" w14:textId="77777777" w:rsidR="009D0D62" w:rsidRPr="00CA34F5" w:rsidRDefault="009D0D62" w:rsidP="009D0D6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Servicios Generales</w:t>
            </w:r>
          </w:p>
        </w:tc>
        <w:tc>
          <w:tcPr>
            <w:tcW w:w="1780" w:type="dxa"/>
            <w:tcBorders>
              <w:top w:val="nil"/>
              <w:left w:val="nil"/>
              <w:bottom w:val="nil"/>
              <w:right w:val="single" w:sz="4" w:space="0" w:color="auto"/>
            </w:tcBorders>
            <w:shd w:val="clear" w:color="000000" w:fill="FFFFFF"/>
            <w:hideMark/>
          </w:tcPr>
          <w:p w14:paraId="4352DDA7" w14:textId="77777777" w:rsidR="009D0D62" w:rsidRPr="00CA34F5" w:rsidRDefault="009D0D62" w:rsidP="009D0D6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1,640,885,678</w:t>
            </w:r>
          </w:p>
        </w:tc>
        <w:tc>
          <w:tcPr>
            <w:tcW w:w="2200" w:type="dxa"/>
            <w:tcBorders>
              <w:top w:val="nil"/>
              <w:left w:val="nil"/>
              <w:bottom w:val="nil"/>
              <w:right w:val="single" w:sz="4" w:space="0" w:color="auto"/>
            </w:tcBorders>
            <w:shd w:val="clear" w:color="auto" w:fill="auto"/>
            <w:noWrap/>
            <w:vAlign w:val="center"/>
            <w:hideMark/>
          </w:tcPr>
          <w:p w14:paraId="5D0E1F9D" w14:textId="77777777" w:rsidR="009D0D62" w:rsidRPr="00CA34F5" w:rsidRDefault="009D0D62" w:rsidP="009D0D6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7.10</w:t>
            </w:r>
          </w:p>
        </w:tc>
      </w:tr>
      <w:tr w:rsidR="009D0D62" w:rsidRPr="00CA34F5" w14:paraId="51079C61" w14:textId="77777777" w:rsidTr="00045AA2">
        <w:trPr>
          <w:trHeight w:val="315"/>
          <w:jc w:val="center"/>
        </w:trPr>
        <w:tc>
          <w:tcPr>
            <w:tcW w:w="6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478461" w14:textId="77777777" w:rsidR="009D0D62" w:rsidRPr="00CA34F5" w:rsidRDefault="009D0D62" w:rsidP="009D0D62">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Total</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52AE4060" w14:textId="77777777" w:rsidR="009D0D62" w:rsidRPr="00CA34F5" w:rsidRDefault="009D0D62" w:rsidP="009D0D62">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23,105,092,312</w:t>
            </w:r>
          </w:p>
        </w:tc>
        <w:tc>
          <w:tcPr>
            <w:tcW w:w="2200" w:type="dxa"/>
            <w:tcBorders>
              <w:top w:val="single" w:sz="8" w:space="0" w:color="auto"/>
              <w:left w:val="nil"/>
              <w:bottom w:val="single" w:sz="8" w:space="0" w:color="auto"/>
              <w:right w:val="single" w:sz="8" w:space="0" w:color="auto"/>
            </w:tcBorders>
            <w:shd w:val="clear" w:color="auto" w:fill="auto"/>
            <w:noWrap/>
            <w:vAlign w:val="center"/>
            <w:hideMark/>
          </w:tcPr>
          <w:p w14:paraId="01E88A20" w14:textId="77777777" w:rsidR="009D0D62" w:rsidRPr="00CA34F5" w:rsidRDefault="009D0D62" w:rsidP="009D0D6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100</w:t>
            </w:r>
          </w:p>
        </w:tc>
      </w:tr>
    </w:tbl>
    <w:p w14:paraId="479DB430" w14:textId="77777777" w:rsidR="00541893" w:rsidRPr="00CA34F5" w:rsidRDefault="00541893" w:rsidP="000A4C31">
      <w:pPr>
        <w:spacing w:after="0" w:line="240" w:lineRule="auto"/>
        <w:jc w:val="both"/>
        <w:rPr>
          <w:rFonts w:ascii="Arial" w:eastAsia="Times New Roman" w:hAnsi="Arial" w:cs="Arial"/>
          <w:color w:val="000000"/>
          <w:lang w:eastAsia="es-MX"/>
        </w:rPr>
      </w:pPr>
    </w:p>
    <w:p w14:paraId="79477EBB" w14:textId="77777777" w:rsidR="00015407" w:rsidRPr="00CA34F5" w:rsidRDefault="00015407" w:rsidP="000A4C31">
      <w:pPr>
        <w:spacing w:after="0" w:line="240" w:lineRule="auto"/>
        <w:jc w:val="both"/>
        <w:rPr>
          <w:rFonts w:ascii="Arial" w:eastAsia="Times New Roman" w:hAnsi="Arial" w:cs="Arial"/>
          <w:color w:val="000000"/>
          <w:lang w:eastAsia="es-MX"/>
        </w:rPr>
      </w:pPr>
    </w:p>
    <w:p w14:paraId="712CC3E1" w14:textId="77777777" w:rsidR="00267429" w:rsidRDefault="00267429" w:rsidP="009D0D62">
      <w:pPr>
        <w:spacing w:after="0" w:line="240" w:lineRule="auto"/>
        <w:jc w:val="both"/>
        <w:rPr>
          <w:rFonts w:ascii="Arial" w:eastAsia="Times New Roman" w:hAnsi="Arial" w:cs="Arial"/>
          <w:color w:val="000000"/>
          <w:lang w:eastAsia="es-MX"/>
        </w:rPr>
      </w:pPr>
    </w:p>
    <w:p w14:paraId="321237B2" w14:textId="77777777" w:rsidR="009D0D62" w:rsidRPr="00CA34F5" w:rsidRDefault="009D0D62" w:rsidP="009D0D6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El rubro de Servicios Personales es</w:t>
      </w:r>
      <w:r w:rsidRPr="00CA34F5">
        <w:rPr>
          <w:rFonts w:ascii="Arial" w:eastAsia="Times New Roman" w:hAnsi="Arial" w:cs="Arial"/>
          <w:b/>
          <w:bCs/>
          <w:color w:val="000000"/>
          <w:lang w:eastAsia="es-MX"/>
        </w:rPr>
        <w:t xml:space="preserve"> 34.93 %</w:t>
      </w:r>
      <w:r w:rsidRPr="00CA34F5">
        <w:rPr>
          <w:rFonts w:ascii="Arial" w:eastAsia="Times New Roman" w:hAnsi="Arial" w:cs="Arial"/>
          <w:color w:val="000000"/>
          <w:lang w:eastAsia="es-MX"/>
        </w:rPr>
        <w:t xml:space="preserve"> del Total de Gasto y Otras Pérdidas y se integra de asignaciones destinadas a pagos al personal empleado, pagos de </w:t>
      </w:r>
      <w:proofErr w:type="spellStart"/>
      <w:r w:rsidRPr="00CA34F5">
        <w:rPr>
          <w:rFonts w:ascii="Arial" w:eastAsia="Times New Roman" w:hAnsi="Arial" w:cs="Arial"/>
          <w:color w:val="000000"/>
          <w:lang w:eastAsia="es-MX"/>
        </w:rPr>
        <w:t>Seguridas</w:t>
      </w:r>
      <w:proofErr w:type="spellEnd"/>
      <w:r w:rsidRPr="00CA34F5">
        <w:rPr>
          <w:rFonts w:ascii="Arial" w:eastAsia="Times New Roman" w:hAnsi="Arial" w:cs="Arial"/>
          <w:color w:val="000000"/>
          <w:lang w:eastAsia="es-MX"/>
        </w:rPr>
        <w:t xml:space="preserve"> Social y Otras Prestaciones.</w:t>
      </w:r>
    </w:p>
    <w:p w14:paraId="46D5C4F1" w14:textId="77777777" w:rsidR="00015407" w:rsidRPr="00CA34F5" w:rsidRDefault="00015407" w:rsidP="000A4C31">
      <w:pPr>
        <w:spacing w:after="0" w:line="240" w:lineRule="auto"/>
        <w:jc w:val="both"/>
        <w:rPr>
          <w:rFonts w:ascii="Arial" w:eastAsia="Times New Roman" w:hAnsi="Arial" w:cs="Arial"/>
          <w:color w:val="000000"/>
          <w:lang w:eastAsia="es-MX"/>
        </w:rPr>
      </w:pPr>
    </w:p>
    <w:tbl>
      <w:tblPr>
        <w:tblW w:w="10260" w:type="dxa"/>
        <w:jc w:val="center"/>
        <w:tblCellMar>
          <w:left w:w="70" w:type="dxa"/>
          <w:right w:w="70" w:type="dxa"/>
        </w:tblCellMar>
        <w:tblLook w:val="04A0" w:firstRow="1" w:lastRow="0" w:firstColumn="1" w:lastColumn="0" w:noHBand="0" w:noVBand="1"/>
      </w:tblPr>
      <w:tblGrid>
        <w:gridCol w:w="6280"/>
        <w:gridCol w:w="1780"/>
        <w:gridCol w:w="2200"/>
      </w:tblGrid>
      <w:tr w:rsidR="009D0D62" w:rsidRPr="00CA34F5" w14:paraId="42C47AC1" w14:textId="77777777" w:rsidTr="00045AA2">
        <w:trPr>
          <w:trHeight w:val="825"/>
          <w:jc w:val="center"/>
        </w:trPr>
        <w:tc>
          <w:tcPr>
            <w:tcW w:w="6280"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2E563FFE" w14:textId="77777777" w:rsidR="009D0D62" w:rsidRPr="00CA34F5" w:rsidRDefault="009D0D62" w:rsidP="009D0D6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Rubros que integran el grupo de</w:t>
            </w:r>
            <w:r w:rsidRPr="00CA34F5">
              <w:rPr>
                <w:rFonts w:ascii="Arial" w:eastAsia="Times New Roman" w:hAnsi="Arial" w:cs="Arial"/>
                <w:color w:val="000000"/>
                <w:lang w:eastAsia="es-MX"/>
              </w:rPr>
              <w:t xml:space="preserve"> </w:t>
            </w:r>
            <w:r w:rsidRPr="00CA34F5">
              <w:rPr>
                <w:rFonts w:ascii="Arial" w:eastAsia="Times New Roman" w:hAnsi="Arial" w:cs="Arial"/>
                <w:b/>
                <w:bCs/>
                <w:color w:val="000000"/>
                <w:lang w:eastAsia="es-MX"/>
              </w:rPr>
              <w:t>Transferencias, Asignaciones, Subsidios Y Otras Ayudas</w:t>
            </w:r>
          </w:p>
        </w:tc>
        <w:tc>
          <w:tcPr>
            <w:tcW w:w="1780" w:type="dxa"/>
            <w:tcBorders>
              <w:top w:val="single" w:sz="8" w:space="0" w:color="auto"/>
              <w:left w:val="nil"/>
              <w:bottom w:val="single" w:sz="8" w:space="0" w:color="auto"/>
              <w:right w:val="single" w:sz="8" w:space="0" w:color="auto"/>
            </w:tcBorders>
            <w:shd w:val="clear" w:color="000000" w:fill="A6A6A6"/>
            <w:noWrap/>
            <w:vAlign w:val="center"/>
            <w:hideMark/>
          </w:tcPr>
          <w:p w14:paraId="3DE1B0F1" w14:textId="77777777" w:rsidR="009D0D62" w:rsidRPr="00CA34F5" w:rsidRDefault="009D0D62" w:rsidP="009D0D6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 Importes </w:t>
            </w:r>
          </w:p>
        </w:tc>
        <w:tc>
          <w:tcPr>
            <w:tcW w:w="2200" w:type="dxa"/>
            <w:tcBorders>
              <w:top w:val="single" w:sz="8" w:space="0" w:color="auto"/>
              <w:left w:val="nil"/>
              <w:bottom w:val="single" w:sz="8" w:space="0" w:color="auto"/>
              <w:right w:val="single" w:sz="8" w:space="0" w:color="auto"/>
            </w:tcBorders>
            <w:shd w:val="clear" w:color="000000" w:fill="A6A6A6"/>
            <w:noWrap/>
            <w:vAlign w:val="center"/>
            <w:hideMark/>
          </w:tcPr>
          <w:p w14:paraId="164DD3D6" w14:textId="77777777" w:rsidR="009D0D62" w:rsidRPr="00CA34F5" w:rsidRDefault="009D0D62" w:rsidP="009D0D6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w:t>
            </w:r>
          </w:p>
        </w:tc>
      </w:tr>
      <w:tr w:rsidR="009D0D62" w:rsidRPr="00CA34F5" w14:paraId="131E6601" w14:textId="77777777" w:rsidTr="00045AA2">
        <w:trPr>
          <w:trHeight w:val="300"/>
          <w:jc w:val="center"/>
        </w:trPr>
        <w:tc>
          <w:tcPr>
            <w:tcW w:w="6280" w:type="dxa"/>
            <w:tcBorders>
              <w:top w:val="nil"/>
              <w:left w:val="single" w:sz="8" w:space="0" w:color="auto"/>
              <w:bottom w:val="single" w:sz="4" w:space="0" w:color="auto"/>
              <w:right w:val="single" w:sz="4" w:space="0" w:color="auto"/>
            </w:tcBorders>
            <w:shd w:val="clear" w:color="auto" w:fill="auto"/>
            <w:noWrap/>
            <w:vAlign w:val="center"/>
            <w:hideMark/>
          </w:tcPr>
          <w:p w14:paraId="06A618EE" w14:textId="77777777" w:rsidR="009D0D62" w:rsidRPr="00CA34F5" w:rsidRDefault="009D0D62" w:rsidP="009D0D6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Transferencias Internas y Asignaciones al Sector Público</w:t>
            </w:r>
          </w:p>
        </w:tc>
        <w:tc>
          <w:tcPr>
            <w:tcW w:w="1780" w:type="dxa"/>
            <w:tcBorders>
              <w:top w:val="nil"/>
              <w:left w:val="nil"/>
              <w:bottom w:val="single" w:sz="4" w:space="0" w:color="auto"/>
              <w:right w:val="single" w:sz="4" w:space="0" w:color="auto"/>
            </w:tcBorders>
            <w:shd w:val="clear" w:color="000000" w:fill="FFFFFF"/>
            <w:hideMark/>
          </w:tcPr>
          <w:p w14:paraId="2D171BA2" w14:textId="77777777" w:rsidR="009D0D62" w:rsidRPr="00CA34F5" w:rsidRDefault="009D0D62" w:rsidP="009D0D6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3,331,241,422</w:t>
            </w:r>
          </w:p>
        </w:tc>
        <w:tc>
          <w:tcPr>
            <w:tcW w:w="2200" w:type="dxa"/>
            <w:tcBorders>
              <w:top w:val="nil"/>
              <w:left w:val="nil"/>
              <w:bottom w:val="single" w:sz="4" w:space="0" w:color="auto"/>
              <w:right w:val="single" w:sz="8" w:space="0" w:color="auto"/>
            </w:tcBorders>
            <w:shd w:val="clear" w:color="auto" w:fill="auto"/>
            <w:noWrap/>
            <w:vAlign w:val="center"/>
            <w:hideMark/>
          </w:tcPr>
          <w:p w14:paraId="6A8BE007" w14:textId="77777777" w:rsidR="009D0D62" w:rsidRPr="00CA34F5" w:rsidRDefault="009D0D62" w:rsidP="009D0D6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15.67</w:t>
            </w:r>
          </w:p>
        </w:tc>
      </w:tr>
      <w:tr w:rsidR="009D0D62" w:rsidRPr="00CA34F5" w14:paraId="04C0386D" w14:textId="77777777" w:rsidTr="00045AA2">
        <w:trPr>
          <w:trHeight w:val="300"/>
          <w:jc w:val="center"/>
        </w:trPr>
        <w:tc>
          <w:tcPr>
            <w:tcW w:w="6280" w:type="dxa"/>
            <w:tcBorders>
              <w:top w:val="nil"/>
              <w:left w:val="single" w:sz="8" w:space="0" w:color="auto"/>
              <w:bottom w:val="single" w:sz="4" w:space="0" w:color="auto"/>
              <w:right w:val="single" w:sz="4" w:space="0" w:color="auto"/>
            </w:tcBorders>
            <w:shd w:val="clear" w:color="auto" w:fill="auto"/>
            <w:noWrap/>
            <w:vAlign w:val="center"/>
            <w:hideMark/>
          </w:tcPr>
          <w:p w14:paraId="103BF8B3" w14:textId="77777777" w:rsidR="009D0D62" w:rsidRPr="00CA34F5" w:rsidRDefault="009D0D62" w:rsidP="009D0D6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Transferencias al Resto del Sector Público</w:t>
            </w:r>
          </w:p>
        </w:tc>
        <w:tc>
          <w:tcPr>
            <w:tcW w:w="1780" w:type="dxa"/>
            <w:tcBorders>
              <w:top w:val="nil"/>
              <w:left w:val="nil"/>
              <w:bottom w:val="single" w:sz="4" w:space="0" w:color="auto"/>
              <w:right w:val="single" w:sz="4" w:space="0" w:color="auto"/>
            </w:tcBorders>
            <w:shd w:val="clear" w:color="000000" w:fill="FFFFFF"/>
            <w:hideMark/>
          </w:tcPr>
          <w:p w14:paraId="67C0B7AD" w14:textId="77777777" w:rsidR="009D0D62" w:rsidRPr="00CA34F5" w:rsidRDefault="009D0D62" w:rsidP="009D0D6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16,281,779,917</w:t>
            </w:r>
          </w:p>
        </w:tc>
        <w:tc>
          <w:tcPr>
            <w:tcW w:w="2200" w:type="dxa"/>
            <w:tcBorders>
              <w:top w:val="nil"/>
              <w:left w:val="nil"/>
              <w:bottom w:val="single" w:sz="4" w:space="0" w:color="auto"/>
              <w:right w:val="single" w:sz="8" w:space="0" w:color="auto"/>
            </w:tcBorders>
            <w:shd w:val="clear" w:color="auto" w:fill="auto"/>
            <w:noWrap/>
            <w:vAlign w:val="center"/>
            <w:hideMark/>
          </w:tcPr>
          <w:p w14:paraId="67536114" w14:textId="77777777" w:rsidR="009D0D62" w:rsidRPr="00CA34F5" w:rsidRDefault="009D0D62" w:rsidP="009D0D6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76.57</w:t>
            </w:r>
          </w:p>
        </w:tc>
      </w:tr>
      <w:tr w:rsidR="009D0D62" w:rsidRPr="00CA34F5" w14:paraId="7EAC86BD" w14:textId="77777777" w:rsidTr="00045AA2">
        <w:trPr>
          <w:trHeight w:val="300"/>
          <w:jc w:val="center"/>
        </w:trPr>
        <w:tc>
          <w:tcPr>
            <w:tcW w:w="6280" w:type="dxa"/>
            <w:tcBorders>
              <w:top w:val="nil"/>
              <w:left w:val="single" w:sz="8" w:space="0" w:color="auto"/>
              <w:bottom w:val="single" w:sz="4" w:space="0" w:color="auto"/>
              <w:right w:val="single" w:sz="4" w:space="0" w:color="auto"/>
            </w:tcBorders>
            <w:shd w:val="clear" w:color="auto" w:fill="auto"/>
            <w:noWrap/>
            <w:vAlign w:val="center"/>
            <w:hideMark/>
          </w:tcPr>
          <w:p w14:paraId="5D41603F" w14:textId="77777777" w:rsidR="009D0D62" w:rsidRPr="00CA34F5" w:rsidRDefault="009D0D62" w:rsidP="009D0D6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Subsidios y Subvenciones</w:t>
            </w:r>
          </w:p>
        </w:tc>
        <w:tc>
          <w:tcPr>
            <w:tcW w:w="1780" w:type="dxa"/>
            <w:tcBorders>
              <w:top w:val="nil"/>
              <w:left w:val="nil"/>
              <w:bottom w:val="single" w:sz="4" w:space="0" w:color="auto"/>
              <w:right w:val="single" w:sz="4" w:space="0" w:color="auto"/>
            </w:tcBorders>
            <w:shd w:val="clear" w:color="000000" w:fill="FFFFFF"/>
            <w:hideMark/>
          </w:tcPr>
          <w:p w14:paraId="30164900" w14:textId="77777777" w:rsidR="009D0D62" w:rsidRPr="00CA34F5" w:rsidRDefault="009D0D62" w:rsidP="009D0D6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860,056,949</w:t>
            </w:r>
          </w:p>
        </w:tc>
        <w:tc>
          <w:tcPr>
            <w:tcW w:w="2200" w:type="dxa"/>
            <w:tcBorders>
              <w:top w:val="nil"/>
              <w:left w:val="nil"/>
              <w:bottom w:val="single" w:sz="4" w:space="0" w:color="auto"/>
              <w:right w:val="single" w:sz="8" w:space="0" w:color="auto"/>
            </w:tcBorders>
            <w:shd w:val="clear" w:color="auto" w:fill="auto"/>
            <w:noWrap/>
            <w:vAlign w:val="center"/>
            <w:hideMark/>
          </w:tcPr>
          <w:p w14:paraId="61FB3EFE" w14:textId="77777777" w:rsidR="009D0D62" w:rsidRPr="00CA34F5" w:rsidRDefault="009D0D62" w:rsidP="009D0D6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4.04</w:t>
            </w:r>
          </w:p>
        </w:tc>
      </w:tr>
      <w:tr w:rsidR="009D0D62" w:rsidRPr="00CA34F5" w14:paraId="081592D0" w14:textId="77777777" w:rsidTr="00045AA2">
        <w:trPr>
          <w:trHeight w:val="300"/>
          <w:jc w:val="center"/>
        </w:trPr>
        <w:tc>
          <w:tcPr>
            <w:tcW w:w="6280" w:type="dxa"/>
            <w:tcBorders>
              <w:top w:val="nil"/>
              <w:left w:val="single" w:sz="8" w:space="0" w:color="auto"/>
              <w:bottom w:val="single" w:sz="4" w:space="0" w:color="auto"/>
              <w:right w:val="single" w:sz="4" w:space="0" w:color="auto"/>
            </w:tcBorders>
            <w:shd w:val="clear" w:color="auto" w:fill="auto"/>
            <w:noWrap/>
            <w:vAlign w:val="center"/>
            <w:hideMark/>
          </w:tcPr>
          <w:p w14:paraId="3BB9F327" w14:textId="77777777" w:rsidR="009D0D62" w:rsidRPr="00CA34F5" w:rsidRDefault="009D0D62" w:rsidP="009D0D6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Ayudas Sociales</w:t>
            </w:r>
          </w:p>
        </w:tc>
        <w:tc>
          <w:tcPr>
            <w:tcW w:w="1780" w:type="dxa"/>
            <w:tcBorders>
              <w:top w:val="nil"/>
              <w:left w:val="nil"/>
              <w:bottom w:val="single" w:sz="4" w:space="0" w:color="auto"/>
              <w:right w:val="single" w:sz="4" w:space="0" w:color="auto"/>
            </w:tcBorders>
            <w:shd w:val="clear" w:color="000000" w:fill="FFFFFF"/>
            <w:hideMark/>
          </w:tcPr>
          <w:p w14:paraId="67B1E79F" w14:textId="77777777" w:rsidR="009D0D62" w:rsidRPr="00CA34F5" w:rsidRDefault="009D0D62" w:rsidP="009D0D6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47,950,490</w:t>
            </w:r>
          </w:p>
        </w:tc>
        <w:tc>
          <w:tcPr>
            <w:tcW w:w="2200" w:type="dxa"/>
            <w:tcBorders>
              <w:top w:val="nil"/>
              <w:left w:val="nil"/>
              <w:bottom w:val="single" w:sz="4" w:space="0" w:color="auto"/>
              <w:right w:val="single" w:sz="8" w:space="0" w:color="auto"/>
            </w:tcBorders>
            <w:shd w:val="clear" w:color="auto" w:fill="auto"/>
            <w:noWrap/>
            <w:vAlign w:val="center"/>
            <w:hideMark/>
          </w:tcPr>
          <w:p w14:paraId="2F0FB167" w14:textId="77777777" w:rsidR="009D0D62" w:rsidRPr="00CA34F5" w:rsidRDefault="009D0D62" w:rsidP="009D0D6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0.23</w:t>
            </w:r>
          </w:p>
        </w:tc>
      </w:tr>
      <w:tr w:rsidR="009D0D62" w:rsidRPr="00CA34F5" w14:paraId="51C1D59B" w14:textId="77777777" w:rsidTr="00045AA2">
        <w:trPr>
          <w:trHeight w:val="300"/>
          <w:jc w:val="center"/>
        </w:trPr>
        <w:tc>
          <w:tcPr>
            <w:tcW w:w="6280" w:type="dxa"/>
            <w:tcBorders>
              <w:top w:val="nil"/>
              <w:left w:val="single" w:sz="8" w:space="0" w:color="auto"/>
              <w:bottom w:val="single" w:sz="4" w:space="0" w:color="auto"/>
              <w:right w:val="single" w:sz="4" w:space="0" w:color="auto"/>
            </w:tcBorders>
            <w:shd w:val="clear" w:color="auto" w:fill="auto"/>
            <w:noWrap/>
            <w:vAlign w:val="center"/>
            <w:hideMark/>
          </w:tcPr>
          <w:p w14:paraId="3EADF999" w14:textId="77777777" w:rsidR="009D0D62" w:rsidRPr="00CA34F5" w:rsidRDefault="009D0D62" w:rsidP="009D0D6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Pensiones y Jubilaciones</w:t>
            </w:r>
          </w:p>
        </w:tc>
        <w:tc>
          <w:tcPr>
            <w:tcW w:w="1780" w:type="dxa"/>
            <w:tcBorders>
              <w:top w:val="nil"/>
              <w:left w:val="nil"/>
              <w:bottom w:val="single" w:sz="4" w:space="0" w:color="auto"/>
              <w:right w:val="single" w:sz="4" w:space="0" w:color="auto"/>
            </w:tcBorders>
            <w:shd w:val="clear" w:color="000000" w:fill="FFFFFF"/>
            <w:hideMark/>
          </w:tcPr>
          <w:p w14:paraId="334D39BA" w14:textId="77777777" w:rsidR="009D0D62" w:rsidRPr="00CA34F5" w:rsidRDefault="009D0D62" w:rsidP="009D0D6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635,000,000</w:t>
            </w:r>
          </w:p>
        </w:tc>
        <w:tc>
          <w:tcPr>
            <w:tcW w:w="2200" w:type="dxa"/>
            <w:tcBorders>
              <w:top w:val="nil"/>
              <w:left w:val="nil"/>
              <w:bottom w:val="single" w:sz="4" w:space="0" w:color="auto"/>
              <w:right w:val="single" w:sz="8" w:space="0" w:color="auto"/>
            </w:tcBorders>
            <w:shd w:val="clear" w:color="auto" w:fill="auto"/>
            <w:noWrap/>
            <w:vAlign w:val="center"/>
            <w:hideMark/>
          </w:tcPr>
          <w:p w14:paraId="34AC5190" w14:textId="77777777" w:rsidR="009D0D62" w:rsidRPr="00CA34F5" w:rsidRDefault="009D0D62" w:rsidP="009D0D6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2.99</w:t>
            </w:r>
          </w:p>
        </w:tc>
      </w:tr>
      <w:tr w:rsidR="009D0D62" w:rsidRPr="00CA34F5" w14:paraId="14A6A93C" w14:textId="77777777" w:rsidTr="00045AA2">
        <w:trPr>
          <w:trHeight w:val="300"/>
          <w:jc w:val="center"/>
        </w:trPr>
        <w:tc>
          <w:tcPr>
            <w:tcW w:w="6280" w:type="dxa"/>
            <w:tcBorders>
              <w:top w:val="nil"/>
              <w:left w:val="single" w:sz="8" w:space="0" w:color="auto"/>
              <w:bottom w:val="single" w:sz="4" w:space="0" w:color="auto"/>
              <w:right w:val="single" w:sz="4" w:space="0" w:color="auto"/>
            </w:tcBorders>
            <w:shd w:val="clear" w:color="auto" w:fill="auto"/>
            <w:noWrap/>
            <w:vAlign w:val="center"/>
            <w:hideMark/>
          </w:tcPr>
          <w:p w14:paraId="142C826A" w14:textId="77777777" w:rsidR="009D0D62" w:rsidRPr="00CA34F5" w:rsidRDefault="009D0D62" w:rsidP="009D0D6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Transferencias a Fideicomisos, Mandatos y Contratos Análogos</w:t>
            </w:r>
          </w:p>
        </w:tc>
        <w:tc>
          <w:tcPr>
            <w:tcW w:w="1780" w:type="dxa"/>
            <w:tcBorders>
              <w:top w:val="nil"/>
              <w:left w:val="nil"/>
              <w:bottom w:val="single" w:sz="4" w:space="0" w:color="auto"/>
              <w:right w:val="single" w:sz="4" w:space="0" w:color="auto"/>
            </w:tcBorders>
            <w:shd w:val="clear" w:color="000000" w:fill="FFFFFF"/>
            <w:hideMark/>
          </w:tcPr>
          <w:p w14:paraId="0A93CD97" w14:textId="77777777" w:rsidR="009D0D62" w:rsidRPr="00CA34F5" w:rsidRDefault="009D0D62" w:rsidP="009D0D6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97,671,952</w:t>
            </w:r>
          </w:p>
        </w:tc>
        <w:tc>
          <w:tcPr>
            <w:tcW w:w="2200" w:type="dxa"/>
            <w:tcBorders>
              <w:top w:val="nil"/>
              <w:left w:val="nil"/>
              <w:bottom w:val="single" w:sz="4" w:space="0" w:color="auto"/>
              <w:right w:val="single" w:sz="8" w:space="0" w:color="auto"/>
            </w:tcBorders>
            <w:shd w:val="clear" w:color="auto" w:fill="auto"/>
            <w:noWrap/>
            <w:vAlign w:val="center"/>
            <w:hideMark/>
          </w:tcPr>
          <w:p w14:paraId="6342CC5B" w14:textId="77777777" w:rsidR="009D0D62" w:rsidRPr="00CA34F5" w:rsidRDefault="009D0D62" w:rsidP="009D0D6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0.46</w:t>
            </w:r>
          </w:p>
        </w:tc>
      </w:tr>
      <w:tr w:rsidR="009D0D62" w:rsidRPr="00CA34F5" w14:paraId="489312EA" w14:textId="77777777" w:rsidTr="00045AA2">
        <w:trPr>
          <w:trHeight w:val="300"/>
          <w:jc w:val="center"/>
        </w:trPr>
        <w:tc>
          <w:tcPr>
            <w:tcW w:w="6280" w:type="dxa"/>
            <w:tcBorders>
              <w:top w:val="nil"/>
              <w:left w:val="single" w:sz="8" w:space="0" w:color="auto"/>
              <w:bottom w:val="single" w:sz="4" w:space="0" w:color="auto"/>
              <w:right w:val="single" w:sz="4" w:space="0" w:color="auto"/>
            </w:tcBorders>
            <w:shd w:val="clear" w:color="auto" w:fill="auto"/>
            <w:noWrap/>
            <w:vAlign w:val="center"/>
            <w:hideMark/>
          </w:tcPr>
          <w:p w14:paraId="58B72508" w14:textId="77777777" w:rsidR="009D0D62" w:rsidRPr="00CA34F5" w:rsidRDefault="009D0D62" w:rsidP="009D0D62">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Donativos</w:t>
            </w:r>
          </w:p>
        </w:tc>
        <w:tc>
          <w:tcPr>
            <w:tcW w:w="1780" w:type="dxa"/>
            <w:tcBorders>
              <w:top w:val="nil"/>
              <w:left w:val="nil"/>
              <w:bottom w:val="single" w:sz="4" w:space="0" w:color="auto"/>
              <w:right w:val="single" w:sz="4" w:space="0" w:color="auto"/>
            </w:tcBorders>
            <w:shd w:val="clear" w:color="000000" w:fill="FFFFFF"/>
            <w:hideMark/>
          </w:tcPr>
          <w:p w14:paraId="051493A1" w14:textId="77777777" w:rsidR="009D0D62" w:rsidRPr="00CA34F5" w:rsidRDefault="009D0D62" w:rsidP="009D0D6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10,000,000</w:t>
            </w:r>
          </w:p>
        </w:tc>
        <w:tc>
          <w:tcPr>
            <w:tcW w:w="2200" w:type="dxa"/>
            <w:tcBorders>
              <w:top w:val="nil"/>
              <w:left w:val="nil"/>
              <w:bottom w:val="single" w:sz="4" w:space="0" w:color="auto"/>
              <w:right w:val="single" w:sz="8" w:space="0" w:color="auto"/>
            </w:tcBorders>
            <w:shd w:val="clear" w:color="auto" w:fill="auto"/>
            <w:noWrap/>
            <w:vAlign w:val="center"/>
            <w:hideMark/>
          </w:tcPr>
          <w:p w14:paraId="0170344D" w14:textId="77777777" w:rsidR="009D0D62" w:rsidRPr="00CA34F5" w:rsidRDefault="009D0D62" w:rsidP="009D0D6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0.05</w:t>
            </w:r>
          </w:p>
        </w:tc>
      </w:tr>
      <w:tr w:rsidR="009D0D62" w:rsidRPr="00CA34F5" w14:paraId="24F9F646" w14:textId="77777777" w:rsidTr="00045AA2">
        <w:trPr>
          <w:trHeight w:val="315"/>
          <w:jc w:val="center"/>
        </w:trPr>
        <w:tc>
          <w:tcPr>
            <w:tcW w:w="6280" w:type="dxa"/>
            <w:tcBorders>
              <w:top w:val="nil"/>
              <w:left w:val="single" w:sz="8" w:space="0" w:color="auto"/>
              <w:bottom w:val="nil"/>
              <w:right w:val="single" w:sz="4" w:space="0" w:color="auto"/>
            </w:tcBorders>
            <w:shd w:val="clear" w:color="auto" w:fill="auto"/>
            <w:vAlign w:val="bottom"/>
            <w:hideMark/>
          </w:tcPr>
          <w:p w14:paraId="4D49638A" w14:textId="77777777" w:rsidR="009D0D62" w:rsidRPr="00CA34F5" w:rsidRDefault="009D0D62" w:rsidP="009D0D62">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Transferencias al Exterior</w:t>
            </w:r>
          </w:p>
        </w:tc>
        <w:tc>
          <w:tcPr>
            <w:tcW w:w="1780" w:type="dxa"/>
            <w:tcBorders>
              <w:top w:val="nil"/>
              <w:left w:val="nil"/>
              <w:bottom w:val="nil"/>
              <w:right w:val="single" w:sz="4" w:space="0" w:color="auto"/>
            </w:tcBorders>
            <w:shd w:val="clear" w:color="000000" w:fill="FFFFFF"/>
            <w:hideMark/>
          </w:tcPr>
          <w:p w14:paraId="137C83D8" w14:textId="77777777" w:rsidR="009D0D62" w:rsidRPr="00CA34F5" w:rsidRDefault="009D0D62" w:rsidP="009D0D6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100,000</w:t>
            </w:r>
          </w:p>
        </w:tc>
        <w:tc>
          <w:tcPr>
            <w:tcW w:w="2200" w:type="dxa"/>
            <w:tcBorders>
              <w:top w:val="nil"/>
              <w:left w:val="nil"/>
              <w:bottom w:val="nil"/>
              <w:right w:val="single" w:sz="8" w:space="0" w:color="auto"/>
            </w:tcBorders>
            <w:shd w:val="clear" w:color="auto" w:fill="auto"/>
            <w:noWrap/>
            <w:vAlign w:val="center"/>
            <w:hideMark/>
          </w:tcPr>
          <w:p w14:paraId="2ADABFB9" w14:textId="77777777" w:rsidR="009D0D62" w:rsidRPr="00CA34F5" w:rsidRDefault="009D0D62" w:rsidP="009D0D6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0.00</w:t>
            </w:r>
          </w:p>
        </w:tc>
      </w:tr>
      <w:tr w:rsidR="009D0D62" w:rsidRPr="00CA34F5" w14:paraId="5DC7889A" w14:textId="77777777" w:rsidTr="00045AA2">
        <w:trPr>
          <w:trHeight w:val="315"/>
          <w:jc w:val="center"/>
        </w:trPr>
        <w:tc>
          <w:tcPr>
            <w:tcW w:w="6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699BA5" w14:textId="77777777" w:rsidR="009D0D62" w:rsidRPr="00CA34F5" w:rsidRDefault="009D0D62" w:rsidP="009D0D62">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Total</w:t>
            </w:r>
          </w:p>
        </w:tc>
        <w:tc>
          <w:tcPr>
            <w:tcW w:w="1780" w:type="dxa"/>
            <w:tcBorders>
              <w:top w:val="single" w:sz="8" w:space="0" w:color="auto"/>
              <w:left w:val="nil"/>
              <w:bottom w:val="single" w:sz="8" w:space="0" w:color="auto"/>
              <w:right w:val="single" w:sz="8" w:space="0" w:color="auto"/>
            </w:tcBorders>
            <w:shd w:val="clear" w:color="auto" w:fill="auto"/>
            <w:noWrap/>
            <w:vAlign w:val="bottom"/>
            <w:hideMark/>
          </w:tcPr>
          <w:p w14:paraId="0284D5F9" w14:textId="77777777" w:rsidR="009D0D62" w:rsidRPr="00CA34F5" w:rsidRDefault="009D0D62" w:rsidP="009D0D62">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21,263,800,730</w:t>
            </w:r>
          </w:p>
        </w:tc>
        <w:tc>
          <w:tcPr>
            <w:tcW w:w="2200" w:type="dxa"/>
            <w:tcBorders>
              <w:top w:val="single" w:sz="8" w:space="0" w:color="auto"/>
              <w:left w:val="nil"/>
              <w:bottom w:val="single" w:sz="8" w:space="0" w:color="auto"/>
              <w:right w:val="single" w:sz="8" w:space="0" w:color="auto"/>
            </w:tcBorders>
            <w:shd w:val="clear" w:color="auto" w:fill="auto"/>
            <w:noWrap/>
            <w:vAlign w:val="bottom"/>
            <w:hideMark/>
          </w:tcPr>
          <w:p w14:paraId="3D115A71" w14:textId="77777777" w:rsidR="009D0D62" w:rsidRPr="00CA34F5" w:rsidRDefault="009D0D62" w:rsidP="009D0D6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100</w:t>
            </w:r>
          </w:p>
        </w:tc>
      </w:tr>
    </w:tbl>
    <w:p w14:paraId="7FEF76A3" w14:textId="77777777" w:rsidR="009D0D62" w:rsidRPr="00CA34F5" w:rsidRDefault="009D0D62" w:rsidP="000A4C31">
      <w:pPr>
        <w:spacing w:after="0" w:line="240" w:lineRule="auto"/>
        <w:jc w:val="both"/>
        <w:rPr>
          <w:rFonts w:ascii="Arial" w:eastAsia="Times New Roman" w:hAnsi="Arial" w:cs="Arial"/>
          <w:color w:val="000000"/>
          <w:lang w:eastAsia="es-MX"/>
        </w:rPr>
      </w:pPr>
    </w:p>
    <w:p w14:paraId="202ACDC1" w14:textId="77777777" w:rsidR="009D0D62" w:rsidRPr="00CA34F5" w:rsidRDefault="009D0D62" w:rsidP="009D0D6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 xml:space="preserve">El rubro Transferencias al resto del sector público es el </w:t>
      </w:r>
      <w:r w:rsidRPr="00CA34F5">
        <w:rPr>
          <w:rFonts w:ascii="Arial" w:eastAsia="Times New Roman" w:hAnsi="Arial" w:cs="Arial"/>
          <w:b/>
          <w:bCs/>
          <w:color w:val="000000"/>
          <w:lang w:eastAsia="es-MX"/>
        </w:rPr>
        <w:t>28.12 %,</w:t>
      </w:r>
      <w:r w:rsidRPr="00CA34F5">
        <w:rPr>
          <w:rFonts w:ascii="Arial" w:eastAsia="Times New Roman" w:hAnsi="Arial" w:cs="Arial"/>
          <w:color w:val="000000"/>
          <w:lang w:eastAsia="es-MX"/>
        </w:rPr>
        <w:t xml:space="preserve"> del Total de Gastos y Otras Pérdidas y agrupa las asignaciones de gasto social en forma directa a los sectores privados y social, organismos descentralizados y a empresas de participación estatal, con la finalidad de atender actividades productivas, sociales y culturales de interés general así como la atención a contingencias del Estado o necesidades especiales como equilibrar la actividad económica a través de la prestación directa de los servicios públicos y de la procuración del Bienestar Social.</w:t>
      </w:r>
    </w:p>
    <w:p w14:paraId="5800552F" w14:textId="77777777" w:rsidR="00541893" w:rsidRPr="00CA34F5" w:rsidRDefault="00541893" w:rsidP="000A4C31">
      <w:pPr>
        <w:spacing w:line="240" w:lineRule="auto"/>
        <w:jc w:val="both"/>
        <w:rPr>
          <w:rFonts w:ascii="Arial" w:hAnsi="Arial" w:cs="Arial"/>
          <w:b/>
          <w:lang w:val="es-ES"/>
        </w:rPr>
      </w:pPr>
    </w:p>
    <w:tbl>
      <w:tblPr>
        <w:tblW w:w="10260" w:type="dxa"/>
        <w:jc w:val="center"/>
        <w:tblCellMar>
          <w:left w:w="70" w:type="dxa"/>
          <w:right w:w="70" w:type="dxa"/>
        </w:tblCellMar>
        <w:tblLook w:val="04A0" w:firstRow="1" w:lastRow="0" w:firstColumn="1" w:lastColumn="0" w:noHBand="0" w:noVBand="1"/>
      </w:tblPr>
      <w:tblGrid>
        <w:gridCol w:w="6280"/>
        <w:gridCol w:w="1780"/>
        <w:gridCol w:w="2200"/>
      </w:tblGrid>
      <w:tr w:rsidR="009D0D62" w:rsidRPr="00CA34F5" w14:paraId="7F59342A" w14:textId="77777777" w:rsidTr="00045AA2">
        <w:trPr>
          <w:trHeight w:val="315"/>
          <w:jc w:val="center"/>
        </w:trPr>
        <w:tc>
          <w:tcPr>
            <w:tcW w:w="6280"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3A51C65E" w14:textId="77777777" w:rsidR="009D0D62" w:rsidRPr="00CA34F5" w:rsidRDefault="009D0D62" w:rsidP="009D0D6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Rubros que </w:t>
            </w:r>
            <w:proofErr w:type="spellStart"/>
            <w:r w:rsidRPr="00CA34F5">
              <w:rPr>
                <w:rFonts w:ascii="Arial" w:eastAsia="Times New Roman" w:hAnsi="Arial" w:cs="Arial"/>
                <w:b/>
                <w:bCs/>
                <w:color w:val="000000"/>
                <w:lang w:eastAsia="es-MX"/>
              </w:rPr>
              <w:t>interan</w:t>
            </w:r>
            <w:proofErr w:type="spellEnd"/>
            <w:r w:rsidRPr="00CA34F5">
              <w:rPr>
                <w:rFonts w:ascii="Arial" w:eastAsia="Times New Roman" w:hAnsi="Arial" w:cs="Arial"/>
                <w:b/>
                <w:bCs/>
                <w:color w:val="000000"/>
                <w:lang w:eastAsia="es-MX"/>
              </w:rPr>
              <w:t xml:space="preserve"> el grupo de Participaciones y Aportaciones</w:t>
            </w:r>
          </w:p>
        </w:tc>
        <w:tc>
          <w:tcPr>
            <w:tcW w:w="1780" w:type="dxa"/>
            <w:tcBorders>
              <w:top w:val="single" w:sz="8" w:space="0" w:color="auto"/>
              <w:left w:val="nil"/>
              <w:bottom w:val="single" w:sz="8" w:space="0" w:color="auto"/>
              <w:right w:val="single" w:sz="8" w:space="0" w:color="auto"/>
            </w:tcBorders>
            <w:shd w:val="clear" w:color="000000" w:fill="A6A6A6"/>
            <w:noWrap/>
            <w:vAlign w:val="center"/>
            <w:hideMark/>
          </w:tcPr>
          <w:p w14:paraId="6E33D3F2" w14:textId="77777777" w:rsidR="009D0D62" w:rsidRPr="00CA34F5" w:rsidRDefault="009D0D62" w:rsidP="009D0D6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 Importes </w:t>
            </w:r>
          </w:p>
        </w:tc>
        <w:tc>
          <w:tcPr>
            <w:tcW w:w="2200" w:type="dxa"/>
            <w:tcBorders>
              <w:top w:val="single" w:sz="8" w:space="0" w:color="auto"/>
              <w:left w:val="nil"/>
              <w:bottom w:val="single" w:sz="8" w:space="0" w:color="auto"/>
              <w:right w:val="single" w:sz="8" w:space="0" w:color="auto"/>
            </w:tcBorders>
            <w:shd w:val="clear" w:color="000000" w:fill="A6A6A6"/>
            <w:noWrap/>
            <w:vAlign w:val="center"/>
            <w:hideMark/>
          </w:tcPr>
          <w:p w14:paraId="5556D5E9" w14:textId="77777777" w:rsidR="009D0D62" w:rsidRPr="00CA34F5" w:rsidRDefault="009D0D62" w:rsidP="009D0D6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w:t>
            </w:r>
          </w:p>
        </w:tc>
      </w:tr>
      <w:tr w:rsidR="009D0D62" w:rsidRPr="00CA34F5" w14:paraId="7362852F" w14:textId="77777777" w:rsidTr="00045AA2">
        <w:trPr>
          <w:trHeight w:val="300"/>
          <w:jc w:val="center"/>
        </w:trPr>
        <w:tc>
          <w:tcPr>
            <w:tcW w:w="6280" w:type="dxa"/>
            <w:tcBorders>
              <w:top w:val="nil"/>
              <w:left w:val="single" w:sz="8" w:space="0" w:color="auto"/>
              <w:bottom w:val="single" w:sz="4" w:space="0" w:color="auto"/>
              <w:right w:val="single" w:sz="4" w:space="0" w:color="auto"/>
            </w:tcBorders>
            <w:shd w:val="clear" w:color="auto" w:fill="auto"/>
            <w:noWrap/>
            <w:vAlign w:val="center"/>
            <w:hideMark/>
          </w:tcPr>
          <w:p w14:paraId="1C333E60" w14:textId="77777777" w:rsidR="009D0D62" w:rsidRPr="00CA34F5" w:rsidRDefault="009D0D62" w:rsidP="009D0D6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Participaciones</w:t>
            </w:r>
          </w:p>
        </w:tc>
        <w:tc>
          <w:tcPr>
            <w:tcW w:w="1780" w:type="dxa"/>
            <w:tcBorders>
              <w:top w:val="nil"/>
              <w:left w:val="nil"/>
              <w:bottom w:val="single" w:sz="4" w:space="0" w:color="auto"/>
              <w:right w:val="single" w:sz="4" w:space="0" w:color="auto"/>
            </w:tcBorders>
            <w:shd w:val="clear" w:color="000000" w:fill="FFFFFF"/>
            <w:hideMark/>
          </w:tcPr>
          <w:p w14:paraId="74EC99F3" w14:textId="77777777" w:rsidR="009D0D62" w:rsidRPr="00CA34F5" w:rsidRDefault="009D0D62" w:rsidP="009D0D6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6,260,459,417</w:t>
            </w:r>
          </w:p>
        </w:tc>
        <w:tc>
          <w:tcPr>
            <w:tcW w:w="2200" w:type="dxa"/>
            <w:tcBorders>
              <w:top w:val="nil"/>
              <w:left w:val="nil"/>
              <w:bottom w:val="single" w:sz="4" w:space="0" w:color="auto"/>
              <w:right w:val="single" w:sz="8" w:space="0" w:color="auto"/>
            </w:tcBorders>
            <w:shd w:val="clear" w:color="auto" w:fill="auto"/>
            <w:noWrap/>
            <w:vAlign w:val="center"/>
            <w:hideMark/>
          </w:tcPr>
          <w:p w14:paraId="33DAFE82" w14:textId="77777777" w:rsidR="009D0D62" w:rsidRPr="00CA34F5" w:rsidRDefault="009D0D62" w:rsidP="009D0D6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57.60</w:t>
            </w:r>
          </w:p>
        </w:tc>
      </w:tr>
      <w:tr w:rsidR="009D0D62" w:rsidRPr="00CA34F5" w14:paraId="4FEFEAC3" w14:textId="77777777" w:rsidTr="00045AA2">
        <w:trPr>
          <w:trHeight w:val="300"/>
          <w:jc w:val="center"/>
        </w:trPr>
        <w:tc>
          <w:tcPr>
            <w:tcW w:w="6280" w:type="dxa"/>
            <w:tcBorders>
              <w:top w:val="nil"/>
              <w:left w:val="single" w:sz="8" w:space="0" w:color="auto"/>
              <w:bottom w:val="single" w:sz="4" w:space="0" w:color="auto"/>
              <w:right w:val="single" w:sz="4" w:space="0" w:color="auto"/>
            </w:tcBorders>
            <w:shd w:val="clear" w:color="auto" w:fill="auto"/>
            <w:noWrap/>
            <w:vAlign w:val="center"/>
            <w:hideMark/>
          </w:tcPr>
          <w:p w14:paraId="259C529D" w14:textId="77777777" w:rsidR="009D0D62" w:rsidRPr="00CA34F5" w:rsidRDefault="009D0D62" w:rsidP="009D0D6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Aportaciones</w:t>
            </w:r>
          </w:p>
        </w:tc>
        <w:tc>
          <w:tcPr>
            <w:tcW w:w="1780" w:type="dxa"/>
            <w:tcBorders>
              <w:top w:val="nil"/>
              <w:left w:val="nil"/>
              <w:bottom w:val="single" w:sz="4" w:space="0" w:color="auto"/>
              <w:right w:val="single" w:sz="4" w:space="0" w:color="auto"/>
            </w:tcBorders>
            <w:shd w:val="clear" w:color="000000" w:fill="FFFFFF"/>
            <w:hideMark/>
          </w:tcPr>
          <w:p w14:paraId="791A124B" w14:textId="77777777" w:rsidR="009D0D62" w:rsidRPr="00CA34F5" w:rsidRDefault="009D0D62" w:rsidP="009D0D6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44,708,127</w:t>
            </w:r>
          </w:p>
        </w:tc>
        <w:tc>
          <w:tcPr>
            <w:tcW w:w="2200" w:type="dxa"/>
            <w:tcBorders>
              <w:top w:val="nil"/>
              <w:left w:val="nil"/>
              <w:bottom w:val="single" w:sz="4" w:space="0" w:color="auto"/>
              <w:right w:val="single" w:sz="8" w:space="0" w:color="auto"/>
            </w:tcBorders>
            <w:shd w:val="clear" w:color="auto" w:fill="auto"/>
            <w:noWrap/>
            <w:vAlign w:val="center"/>
            <w:hideMark/>
          </w:tcPr>
          <w:p w14:paraId="783CCF76" w14:textId="77777777" w:rsidR="009D0D62" w:rsidRPr="00CA34F5" w:rsidRDefault="009D0D62" w:rsidP="009D0D6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0.41</w:t>
            </w:r>
          </w:p>
        </w:tc>
      </w:tr>
      <w:tr w:rsidR="009D0D62" w:rsidRPr="00CA34F5" w14:paraId="668F0466" w14:textId="77777777" w:rsidTr="00045AA2">
        <w:trPr>
          <w:trHeight w:val="315"/>
          <w:jc w:val="center"/>
        </w:trPr>
        <w:tc>
          <w:tcPr>
            <w:tcW w:w="6280" w:type="dxa"/>
            <w:tcBorders>
              <w:top w:val="nil"/>
              <w:left w:val="single" w:sz="8" w:space="0" w:color="auto"/>
              <w:bottom w:val="nil"/>
              <w:right w:val="single" w:sz="4" w:space="0" w:color="auto"/>
            </w:tcBorders>
            <w:shd w:val="clear" w:color="auto" w:fill="auto"/>
            <w:noWrap/>
            <w:vAlign w:val="center"/>
            <w:hideMark/>
          </w:tcPr>
          <w:p w14:paraId="420E0F49" w14:textId="77777777" w:rsidR="009D0D62" w:rsidRPr="00CA34F5" w:rsidRDefault="009D0D62" w:rsidP="009D0D6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Convenios</w:t>
            </w:r>
          </w:p>
        </w:tc>
        <w:tc>
          <w:tcPr>
            <w:tcW w:w="1780" w:type="dxa"/>
            <w:tcBorders>
              <w:top w:val="nil"/>
              <w:left w:val="nil"/>
              <w:bottom w:val="nil"/>
              <w:right w:val="single" w:sz="4" w:space="0" w:color="auto"/>
            </w:tcBorders>
            <w:shd w:val="clear" w:color="000000" w:fill="FFFFFF"/>
            <w:hideMark/>
          </w:tcPr>
          <w:p w14:paraId="306D3232" w14:textId="77777777" w:rsidR="009D0D62" w:rsidRPr="00CA34F5" w:rsidRDefault="009D0D62" w:rsidP="009D0D6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4,562,917,065</w:t>
            </w:r>
          </w:p>
        </w:tc>
        <w:tc>
          <w:tcPr>
            <w:tcW w:w="2200" w:type="dxa"/>
            <w:tcBorders>
              <w:top w:val="nil"/>
              <w:left w:val="nil"/>
              <w:bottom w:val="nil"/>
              <w:right w:val="single" w:sz="8" w:space="0" w:color="auto"/>
            </w:tcBorders>
            <w:shd w:val="clear" w:color="auto" w:fill="auto"/>
            <w:noWrap/>
            <w:vAlign w:val="center"/>
            <w:hideMark/>
          </w:tcPr>
          <w:p w14:paraId="682B775C" w14:textId="77777777" w:rsidR="009D0D62" w:rsidRPr="00CA34F5" w:rsidRDefault="009D0D62" w:rsidP="009D0D6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41.98</w:t>
            </w:r>
          </w:p>
        </w:tc>
      </w:tr>
      <w:tr w:rsidR="009D0D62" w:rsidRPr="00CA34F5" w14:paraId="3610EF37" w14:textId="77777777" w:rsidTr="00045AA2">
        <w:trPr>
          <w:trHeight w:val="315"/>
          <w:jc w:val="center"/>
        </w:trPr>
        <w:tc>
          <w:tcPr>
            <w:tcW w:w="62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7A8A030" w14:textId="77777777" w:rsidR="009D0D62" w:rsidRPr="00CA34F5" w:rsidRDefault="009D0D62" w:rsidP="009D0D62">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Total</w:t>
            </w:r>
          </w:p>
        </w:tc>
        <w:tc>
          <w:tcPr>
            <w:tcW w:w="1780" w:type="dxa"/>
            <w:tcBorders>
              <w:top w:val="single" w:sz="8" w:space="0" w:color="auto"/>
              <w:left w:val="nil"/>
              <w:bottom w:val="single" w:sz="8" w:space="0" w:color="auto"/>
              <w:right w:val="nil"/>
            </w:tcBorders>
            <w:shd w:val="clear" w:color="auto" w:fill="auto"/>
            <w:noWrap/>
            <w:vAlign w:val="center"/>
            <w:hideMark/>
          </w:tcPr>
          <w:p w14:paraId="3B1610D4" w14:textId="77777777" w:rsidR="009D0D62" w:rsidRPr="00CA34F5" w:rsidRDefault="009D0D62" w:rsidP="009D0D62">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10,868,084,609</w:t>
            </w:r>
          </w:p>
        </w:tc>
        <w:tc>
          <w:tcPr>
            <w:tcW w:w="2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90621E" w14:textId="77777777" w:rsidR="009D0D62" w:rsidRPr="00CA34F5" w:rsidRDefault="009D0D62" w:rsidP="009D0D6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100</w:t>
            </w:r>
          </w:p>
        </w:tc>
      </w:tr>
    </w:tbl>
    <w:p w14:paraId="79A78F6D" w14:textId="77777777" w:rsidR="00015407" w:rsidRPr="00CA34F5" w:rsidRDefault="00015407" w:rsidP="000A4C31">
      <w:pPr>
        <w:spacing w:after="0" w:line="240" w:lineRule="auto"/>
        <w:jc w:val="both"/>
        <w:rPr>
          <w:rFonts w:ascii="Arial" w:eastAsia="Times New Roman" w:hAnsi="Arial" w:cs="Arial"/>
          <w:color w:val="000000"/>
          <w:lang w:eastAsia="es-MX"/>
        </w:rPr>
      </w:pPr>
    </w:p>
    <w:p w14:paraId="5D6389C5" w14:textId="77777777" w:rsidR="00267429" w:rsidRDefault="00267429" w:rsidP="009D0D62">
      <w:pPr>
        <w:spacing w:after="0" w:line="240" w:lineRule="auto"/>
        <w:jc w:val="both"/>
        <w:rPr>
          <w:rFonts w:ascii="Arial" w:eastAsia="Times New Roman" w:hAnsi="Arial" w:cs="Arial"/>
          <w:color w:val="000000"/>
          <w:lang w:eastAsia="es-MX"/>
        </w:rPr>
      </w:pPr>
    </w:p>
    <w:p w14:paraId="4EA92E4C" w14:textId="77777777" w:rsidR="00267429" w:rsidRDefault="00267429" w:rsidP="009D0D62">
      <w:pPr>
        <w:spacing w:after="0" w:line="240" w:lineRule="auto"/>
        <w:jc w:val="both"/>
        <w:rPr>
          <w:rFonts w:ascii="Arial" w:eastAsia="Times New Roman" w:hAnsi="Arial" w:cs="Arial"/>
          <w:color w:val="000000"/>
          <w:lang w:eastAsia="es-MX"/>
        </w:rPr>
      </w:pPr>
    </w:p>
    <w:p w14:paraId="4B61EA62" w14:textId="77777777" w:rsidR="00267429" w:rsidRDefault="00267429" w:rsidP="009D0D62">
      <w:pPr>
        <w:spacing w:after="0" w:line="240" w:lineRule="auto"/>
        <w:jc w:val="both"/>
        <w:rPr>
          <w:rFonts w:ascii="Arial" w:eastAsia="Times New Roman" w:hAnsi="Arial" w:cs="Arial"/>
          <w:color w:val="000000"/>
          <w:lang w:eastAsia="es-MX"/>
        </w:rPr>
      </w:pPr>
    </w:p>
    <w:p w14:paraId="0669841A" w14:textId="77777777" w:rsidR="00267429" w:rsidRDefault="00267429" w:rsidP="009D0D62">
      <w:pPr>
        <w:spacing w:after="0" w:line="240" w:lineRule="auto"/>
        <w:jc w:val="both"/>
        <w:rPr>
          <w:rFonts w:ascii="Arial" w:eastAsia="Times New Roman" w:hAnsi="Arial" w:cs="Arial"/>
          <w:color w:val="000000"/>
          <w:lang w:eastAsia="es-MX"/>
        </w:rPr>
      </w:pPr>
    </w:p>
    <w:p w14:paraId="4F5D142C" w14:textId="77777777" w:rsidR="009D0D62" w:rsidRDefault="009D0D62" w:rsidP="009D0D6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lastRenderedPageBreak/>
        <w:t xml:space="preserve">El rubro de Participaciones es el </w:t>
      </w:r>
      <w:r w:rsidRPr="00CA34F5">
        <w:rPr>
          <w:rFonts w:ascii="Arial" w:eastAsia="Times New Roman" w:hAnsi="Arial" w:cs="Arial"/>
          <w:b/>
          <w:bCs/>
          <w:color w:val="000000"/>
          <w:lang w:eastAsia="es-MX"/>
        </w:rPr>
        <w:t xml:space="preserve">10.81% </w:t>
      </w:r>
      <w:r w:rsidRPr="00CA34F5">
        <w:rPr>
          <w:rFonts w:ascii="Arial" w:eastAsia="Times New Roman" w:hAnsi="Arial" w:cs="Arial"/>
          <w:color w:val="000000"/>
          <w:lang w:eastAsia="es-MX"/>
        </w:rPr>
        <w:t xml:space="preserve">del Total de Gastos y Otras Pérdidas. </w:t>
      </w:r>
    </w:p>
    <w:p w14:paraId="2C810D39" w14:textId="77777777" w:rsidR="00294595" w:rsidRPr="00CA34F5" w:rsidRDefault="00294595" w:rsidP="002F0CFC">
      <w:pPr>
        <w:spacing w:after="0" w:line="240" w:lineRule="auto"/>
        <w:jc w:val="both"/>
        <w:rPr>
          <w:rFonts w:ascii="Arial" w:eastAsia="Times New Roman" w:hAnsi="Arial" w:cs="Arial"/>
          <w:color w:val="000000"/>
          <w:lang w:eastAsia="es-MX"/>
        </w:rPr>
      </w:pPr>
    </w:p>
    <w:tbl>
      <w:tblPr>
        <w:tblW w:w="10260" w:type="dxa"/>
        <w:jc w:val="center"/>
        <w:tblCellMar>
          <w:left w:w="70" w:type="dxa"/>
          <w:right w:w="70" w:type="dxa"/>
        </w:tblCellMar>
        <w:tblLook w:val="04A0" w:firstRow="1" w:lastRow="0" w:firstColumn="1" w:lastColumn="0" w:noHBand="0" w:noVBand="1"/>
      </w:tblPr>
      <w:tblGrid>
        <w:gridCol w:w="6280"/>
        <w:gridCol w:w="1780"/>
        <w:gridCol w:w="2200"/>
      </w:tblGrid>
      <w:tr w:rsidR="009D0D62" w:rsidRPr="00CA34F5" w14:paraId="57479C1D" w14:textId="77777777" w:rsidTr="00045AA2">
        <w:trPr>
          <w:trHeight w:val="525"/>
          <w:jc w:val="center"/>
        </w:trPr>
        <w:tc>
          <w:tcPr>
            <w:tcW w:w="6280"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5319B47C" w14:textId="77777777" w:rsidR="009D0D62" w:rsidRPr="00CA34F5" w:rsidRDefault="009D0D62" w:rsidP="009D0D6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Rubros que integran el grupo Intereses, Comisiones y Otros Gastos de la Deuda Pública</w:t>
            </w:r>
          </w:p>
        </w:tc>
        <w:tc>
          <w:tcPr>
            <w:tcW w:w="1780" w:type="dxa"/>
            <w:tcBorders>
              <w:top w:val="single" w:sz="8" w:space="0" w:color="auto"/>
              <w:left w:val="nil"/>
              <w:bottom w:val="single" w:sz="8" w:space="0" w:color="auto"/>
              <w:right w:val="single" w:sz="8" w:space="0" w:color="auto"/>
            </w:tcBorders>
            <w:shd w:val="clear" w:color="000000" w:fill="A6A6A6"/>
            <w:noWrap/>
            <w:vAlign w:val="center"/>
            <w:hideMark/>
          </w:tcPr>
          <w:p w14:paraId="1C2DE612" w14:textId="77777777" w:rsidR="009D0D62" w:rsidRPr="00CA34F5" w:rsidRDefault="009D0D62" w:rsidP="009D0D6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 Importes </w:t>
            </w:r>
          </w:p>
        </w:tc>
        <w:tc>
          <w:tcPr>
            <w:tcW w:w="2200" w:type="dxa"/>
            <w:tcBorders>
              <w:top w:val="single" w:sz="8" w:space="0" w:color="auto"/>
              <w:left w:val="nil"/>
              <w:bottom w:val="single" w:sz="8" w:space="0" w:color="auto"/>
              <w:right w:val="single" w:sz="8" w:space="0" w:color="auto"/>
            </w:tcBorders>
            <w:shd w:val="clear" w:color="000000" w:fill="A6A6A6"/>
            <w:noWrap/>
            <w:vAlign w:val="center"/>
            <w:hideMark/>
          </w:tcPr>
          <w:p w14:paraId="27DFFF08" w14:textId="77777777" w:rsidR="009D0D62" w:rsidRPr="00CA34F5" w:rsidRDefault="009D0D62" w:rsidP="009D0D6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w:t>
            </w:r>
          </w:p>
        </w:tc>
      </w:tr>
      <w:tr w:rsidR="009D0D62" w:rsidRPr="00CA34F5" w14:paraId="305717D4" w14:textId="77777777" w:rsidTr="00045AA2">
        <w:trPr>
          <w:trHeight w:val="300"/>
          <w:jc w:val="center"/>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14:paraId="713CE5F0" w14:textId="77777777" w:rsidR="009D0D62" w:rsidRPr="00CA34F5" w:rsidRDefault="009D0D62" w:rsidP="009D0D6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Intereses de la Deuda Pública</w:t>
            </w:r>
          </w:p>
        </w:tc>
        <w:tc>
          <w:tcPr>
            <w:tcW w:w="1780" w:type="dxa"/>
            <w:tcBorders>
              <w:top w:val="nil"/>
              <w:left w:val="nil"/>
              <w:bottom w:val="single" w:sz="4" w:space="0" w:color="auto"/>
              <w:right w:val="single" w:sz="4" w:space="0" w:color="auto"/>
            </w:tcBorders>
            <w:shd w:val="clear" w:color="000000" w:fill="FFFFFF"/>
            <w:hideMark/>
          </w:tcPr>
          <w:p w14:paraId="484E2D7C" w14:textId="77777777" w:rsidR="009D0D62" w:rsidRPr="00CA34F5" w:rsidRDefault="009D0D62" w:rsidP="009D0D6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417,773,852</w:t>
            </w:r>
          </w:p>
        </w:tc>
        <w:tc>
          <w:tcPr>
            <w:tcW w:w="2200" w:type="dxa"/>
            <w:tcBorders>
              <w:top w:val="nil"/>
              <w:left w:val="nil"/>
              <w:bottom w:val="single" w:sz="4" w:space="0" w:color="auto"/>
              <w:right w:val="single" w:sz="4" w:space="0" w:color="auto"/>
            </w:tcBorders>
            <w:shd w:val="clear" w:color="auto" w:fill="auto"/>
            <w:noWrap/>
            <w:vAlign w:val="center"/>
            <w:hideMark/>
          </w:tcPr>
          <w:p w14:paraId="7A33CD47" w14:textId="77777777" w:rsidR="009D0D62" w:rsidRPr="00CA34F5" w:rsidRDefault="009D0D62" w:rsidP="009D0D6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98.85</w:t>
            </w:r>
          </w:p>
        </w:tc>
      </w:tr>
      <w:tr w:rsidR="009D0D62" w:rsidRPr="00CA34F5" w14:paraId="68BC27E6" w14:textId="77777777" w:rsidTr="00045AA2">
        <w:trPr>
          <w:trHeight w:val="300"/>
          <w:jc w:val="center"/>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14:paraId="1839DD62" w14:textId="02E73EDB" w:rsidR="009D0D62" w:rsidRPr="00CA34F5" w:rsidRDefault="00780D40" w:rsidP="009D0D62">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Gastos de la Deuda Pública</w:t>
            </w:r>
          </w:p>
        </w:tc>
        <w:tc>
          <w:tcPr>
            <w:tcW w:w="1780" w:type="dxa"/>
            <w:tcBorders>
              <w:top w:val="nil"/>
              <w:left w:val="nil"/>
              <w:bottom w:val="single" w:sz="4" w:space="0" w:color="auto"/>
              <w:right w:val="single" w:sz="4" w:space="0" w:color="auto"/>
            </w:tcBorders>
            <w:shd w:val="clear" w:color="000000" w:fill="FFFFFF"/>
            <w:hideMark/>
          </w:tcPr>
          <w:p w14:paraId="7EEEC95F" w14:textId="77777777" w:rsidR="009D0D62" w:rsidRPr="00CA34F5" w:rsidRDefault="009D0D62" w:rsidP="009D0D6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4,000</w:t>
            </w:r>
          </w:p>
        </w:tc>
        <w:tc>
          <w:tcPr>
            <w:tcW w:w="2200" w:type="dxa"/>
            <w:tcBorders>
              <w:top w:val="nil"/>
              <w:left w:val="nil"/>
              <w:bottom w:val="single" w:sz="4" w:space="0" w:color="auto"/>
              <w:right w:val="single" w:sz="4" w:space="0" w:color="auto"/>
            </w:tcBorders>
            <w:shd w:val="clear" w:color="auto" w:fill="auto"/>
            <w:noWrap/>
            <w:vAlign w:val="center"/>
            <w:hideMark/>
          </w:tcPr>
          <w:p w14:paraId="29B03A5F" w14:textId="77777777" w:rsidR="009D0D62" w:rsidRPr="00CA34F5" w:rsidRDefault="009D0D62" w:rsidP="009D0D6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0.00</w:t>
            </w:r>
          </w:p>
        </w:tc>
      </w:tr>
      <w:tr w:rsidR="009D0D62" w:rsidRPr="00CA34F5" w14:paraId="56A869F6" w14:textId="77777777" w:rsidTr="00045AA2">
        <w:trPr>
          <w:trHeight w:val="315"/>
          <w:jc w:val="center"/>
        </w:trPr>
        <w:tc>
          <w:tcPr>
            <w:tcW w:w="6280" w:type="dxa"/>
            <w:tcBorders>
              <w:top w:val="nil"/>
              <w:left w:val="single" w:sz="4" w:space="0" w:color="auto"/>
              <w:bottom w:val="nil"/>
              <w:right w:val="single" w:sz="4" w:space="0" w:color="auto"/>
            </w:tcBorders>
            <w:shd w:val="clear" w:color="auto" w:fill="auto"/>
            <w:noWrap/>
            <w:vAlign w:val="center"/>
            <w:hideMark/>
          </w:tcPr>
          <w:p w14:paraId="15539725" w14:textId="5BAD61EB" w:rsidR="009D0D62" w:rsidRPr="00CA34F5" w:rsidRDefault="00780D40" w:rsidP="009D0D62">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Costo por Cobertura</w:t>
            </w:r>
          </w:p>
        </w:tc>
        <w:tc>
          <w:tcPr>
            <w:tcW w:w="1780" w:type="dxa"/>
            <w:tcBorders>
              <w:top w:val="nil"/>
              <w:left w:val="nil"/>
              <w:bottom w:val="nil"/>
              <w:right w:val="single" w:sz="4" w:space="0" w:color="auto"/>
            </w:tcBorders>
            <w:shd w:val="clear" w:color="000000" w:fill="FFFFFF"/>
            <w:hideMark/>
          </w:tcPr>
          <w:p w14:paraId="42DA3232" w14:textId="77777777" w:rsidR="009D0D62" w:rsidRPr="00CA34F5" w:rsidRDefault="009D0D62" w:rsidP="009D0D62">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4,851,650</w:t>
            </w:r>
          </w:p>
        </w:tc>
        <w:tc>
          <w:tcPr>
            <w:tcW w:w="2200" w:type="dxa"/>
            <w:tcBorders>
              <w:top w:val="nil"/>
              <w:left w:val="nil"/>
              <w:bottom w:val="nil"/>
              <w:right w:val="single" w:sz="4" w:space="0" w:color="auto"/>
            </w:tcBorders>
            <w:shd w:val="clear" w:color="auto" w:fill="auto"/>
            <w:noWrap/>
            <w:vAlign w:val="center"/>
            <w:hideMark/>
          </w:tcPr>
          <w:p w14:paraId="47C47424" w14:textId="77777777" w:rsidR="009D0D62" w:rsidRPr="00CA34F5" w:rsidRDefault="009D0D62" w:rsidP="009D0D6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1.15</w:t>
            </w:r>
          </w:p>
        </w:tc>
      </w:tr>
      <w:tr w:rsidR="009D0D62" w:rsidRPr="00CA34F5" w14:paraId="6988B23D" w14:textId="77777777" w:rsidTr="00045AA2">
        <w:trPr>
          <w:trHeight w:val="315"/>
          <w:jc w:val="center"/>
        </w:trPr>
        <w:tc>
          <w:tcPr>
            <w:tcW w:w="6280" w:type="dxa"/>
            <w:tcBorders>
              <w:top w:val="single" w:sz="8" w:space="0" w:color="auto"/>
              <w:left w:val="single" w:sz="8" w:space="0" w:color="auto"/>
              <w:bottom w:val="single" w:sz="8" w:space="0" w:color="auto"/>
              <w:right w:val="nil"/>
            </w:tcBorders>
            <w:shd w:val="clear" w:color="auto" w:fill="auto"/>
            <w:noWrap/>
            <w:vAlign w:val="center"/>
            <w:hideMark/>
          </w:tcPr>
          <w:p w14:paraId="15F5D6E4" w14:textId="77777777" w:rsidR="009D0D62" w:rsidRPr="00CA34F5" w:rsidRDefault="009D0D62" w:rsidP="009D0D62">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Total</w:t>
            </w:r>
          </w:p>
        </w:tc>
        <w:tc>
          <w:tcPr>
            <w:tcW w:w="17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41981C" w14:textId="77777777" w:rsidR="009D0D62" w:rsidRPr="00CA34F5" w:rsidRDefault="009D0D62" w:rsidP="009D0D62">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422,629,502</w:t>
            </w:r>
          </w:p>
        </w:tc>
        <w:tc>
          <w:tcPr>
            <w:tcW w:w="2200" w:type="dxa"/>
            <w:tcBorders>
              <w:top w:val="single" w:sz="8" w:space="0" w:color="auto"/>
              <w:left w:val="nil"/>
              <w:bottom w:val="single" w:sz="8" w:space="0" w:color="auto"/>
              <w:right w:val="single" w:sz="8" w:space="0" w:color="auto"/>
            </w:tcBorders>
            <w:shd w:val="clear" w:color="auto" w:fill="auto"/>
            <w:noWrap/>
            <w:vAlign w:val="center"/>
            <w:hideMark/>
          </w:tcPr>
          <w:p w14:paraId="56753540" w14:textId="77777777" w:rsidR="009D0D62" w:rsidRPr="00CA34F5" w:rsidRDefault="009D0D62" w:rsidP="009D0D6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100</w:t>
            </w:r>
          </w:p>
        </w:tc>
      </w:tr>
    </w:tbl>
    <w:p w14:paraId="7CC34AD9" w14:textId="77777777" w:rsidR="0022444E" w:rsidRPr="00CA34F5" w:rsidRDefault="0022444E" w:rsidP="009D0D62">
      <w:pPr>
        <w:spacing w:after="0" w:line="240" w:lineRule="auto"/>
        <w:jc w:val="both"/>
        <w:rPr>
          <w:rFonts w:ascii="Arial" w:eastAsia="Times New Roman" w:hAnsi="Arial" w:cs="Arial"/>
          <w:color w:val="000000"/>
          <w:lang w:eastAsia="es-MX"/>
        </w:rPr>
      </w:pPr>
    </w:p>
    <w:p w14:paraId="56FC0F39" w14:textId="77777777" w:rsidR="009D0D62" w:rsidRPr="00CA34F5" w:rsidRDefault="009D0D62" w:rsidP="009D0D6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 xml:space="preserve">El rubro de Intereses de la Deuda Pública es el  </w:t>
      </w:r>
      <w:r w:rsidRPr="00CA34F5">
        <w:rPr>
          <w:rFonts w:ascii="Arial" w:eastAsia="Times New Roman" w:hAnsi="Arial" w:cs="Arial"/>
          <w:b/>
          <w:bCs/>
          <w:color w:val="000000"/>
          <w:lang w:eastAsia="es-MX"/>
        </w:rPr>
        <w:t>0.72 %</w:t>
      </w:r>
      <w:r w:rsidRPr="00CA34F5">
        <w:rPr>
          <w:rFonts w:ascii="Arial" w:eastAsia="Times New Roman" w:hAnsi="Arial" w:cs="Arial"/>
          <w:color w:val="000000"/>
          <w:lang w:eastAsia="es-MX"/>
        </w:rPr>
        <w:t xml:space="preserve"> del Total de Gastos y Otras Pérdidas. </w:t>
      </w:r>
    </w:p>
    <w:p w14:paraId="6DE52111" w14:textId="77777777" w:rsidR="00294595" w:rsidRPr="00CA34F5" w:rsidRDefault="00294595" w:rsidP="002F0CFC">
      <w:pPr>
        <w:spacing w:after="0" w:line="240" w:lineRule="auto"/>
        <w:jc w:val="both"/>
        <w:rPr>
          <w:rFonts w:ascii="Arial" w:eastAsia="Times New Roman" w:hAnsi="Arial" w:cs="Arial"/>
          <w:color w:val="000000"/>
          <w:lang w:eastAsia="es-MX"/>
        </w:rPr>
      </w:pPr>
    </w:p>
    <w:tbl>
      <w:tblPr>
        <w:tblW w:w="10260" w:type="dxa"/>
        <w:jc w:val="center"/>
        <w:tblCellMar>
          <w:left w:w="70" w:type="dxa"/>
          <w:right w:w="70" w:type="dxa"/>
        </w:tblCellMar>
        <w:tblLook w:val="04A0" w:firstRow="1" w:lastRow="0" w:firstColumn="1" w:lastColumn="0" w:noHBand="0" w:noVBand="1"/>
      </w:tblPr>
      <w:tblGrid>
        <w:gridCol w:w="6266"/>
        <w:gridCol w:w="1794"/>
        <w:gridCol w:w="2200"/>
      </w:tblGrid>
      <w:tr w:rsidR="009D0D62" w:rsidRPr="00CA34F5" w14:paraId="24C8958B" w14:textId="77777777" w:rsidTr="00045AA2">
        <w:trPr>
          <w:trHeight w:val="510"/>
          <w:jc w:val="center"/>
        </w:trPr>
        <w:tc>
          <w:tcPr>
            <w:tcW w:w="6266" w:type="dxa"/>
            <w:tcBorders>
              <w:top w:val="single" w:sz="8" w:space="0" w:color="auto"/>
              <w:left w:val="single" w:sz="8" w:space="0" w:color="auto"/>
              <w:bottom w:val="nil"/>
              <w:right w:val="single" w:sz="8" w:space="0" w:color="auto"/>
            </w:tcBorders>
            <w:shd w:val="clear" w:color="000000" w:fill="A6A6A6"/>
            <w:vAlign w:val="center"/>
            <w:hideMark/>
          </w:tcPr>
          <w:p w14:paraId="401EF726" w14:textId="77777777" w:rsidR="009D0D62" w:rsidRPr="00CA34F5" w:rsidRDefault="009D0D62" w:rsidP="009D0D6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Rubro que integra el grupo de Estimaciones, Deterioros, </w:t>
            </w:r>
            <w:proofErr w:type="spellStart"/>
            <w:r w:rsidRPr="00CA34F5">
              <w:rPr>
                <w:rFonts w:ascii="Arial" w:eastAsia="Times New Roman" w:hAnsi="Arial" w:cs="Arial"/>
                <w:b/>
                <w:bCs/>
                <w:color w:val="000000"/>
                <w:lang w:eastAsia="es-MX"/>
              </w:rPr>
              <w:t>Obselecencia</w:t>
            </w:r>
            <w:proofErr w:type="spellEnd"/>
            <w:r w:rsidRPr="00CA34F5">
              <w:rPr>
                <w:rFonts w:ascii="Arial" w:eastAsia="Times New Roman" w:hAnsi="Arial" w:cs="Arial"/>
                <w:b/>
                <w:bCs/>
                <w:color w:val="000000"/>
                <w:lang w:eastAsia="es-MX"/>
              </w:rPr>
              <w:t xml:space="preserve"> y Amortizaciones</w:t>
            </w:r>
          </w:p>
        </w:tc>
        <w:tc>
          <w:tcPr>
            <w:tcW w:w="1794" w:type="dxa"/>
            <w:tcBorders>
              <w:top w:val="single" w:sz="8" w:space="0" w:color="auto"/>
              <w:left w:val="nil"/>
              <w:bottom w:val="nil"/>
              <w:right w:val="single" w:sz="8" w:space="0" w:color="auto"/>
            </w:tcBorders>
            <w:shd w:val="clear" w:color="000000" w:fill="A6A6A6"/>
            <w:noWrap/>
            <w:vAlign w:val="center"/>
            <w:hideMark/>
          </w:tcPr>
          <w:p w14:paraId="7EFC3A47" w14:textId="77777777" w:rsidR="009D0D62" w:rsidRPr="00CA34F5" w:rsidRDefault="009D0D62" w:rsidP="009D0D6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 Importes </w:t>
            </w:r>
          </w:p>
        </w:tc>
        <w:tc>
          <w:tcPr>
            <w:tcW w:w="2200" w:type="dxa"/>
            <w:tcBorders>
              <w:top w:val="single" w:sz="8" w:space="0" w:color="auto"/>
              <w:left w:val="nil"/>
              <w:bottom w:val="nil"/>
              <w:right w:val="nil"/>
            </w:tcBorders>
            <w:shd w:val="clear" w:color="000000" w:fill="A6A6A6"/>
            <w:noWrap/>
            <w:vAlign w:val="center"/>
            <w:hideMark/>
          </w:tcPr>
          <w:p w14:paraId="2D54AEF4" w14:textId="77777777" w:rsidR="009D0D62" w:rsidRPr="00CA34F5" w:rsidRDefault="009D0D62" w:rsidP="009D0D6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w:t>
            </w:r>
          </w:p>
        </w:tc>
      </w:tr>
      <w:tr w:rsidR="009D0D62" w:rsidRPr="00CA34F5" w14:paraId="6DD5FC3D" w14:textId="77777777" w:rsidTr="00045AA2">
        <w:trPr>
          <w:trHeight w:val="600"/>
          <w:jc w:val="center"/>
        </w:trPr>
        <w:tc>
          <w:tcPr>
            <w:tcW w:w="6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1DB33D" w14:textId="539A3E6C" w:rsidR="009D0D62" w:rsidRPr="00CA34F5" w:rsidRDefault="00780D40" w:rsidP="009D0D62">
            <w:pPr>
              <w:spacing w:after="0" w:line="240" w:lineRule="auto"/>
              <w:jc w:val="left"/>
              <w:rPr>
                <w:rFonts w:ascii="Arial" w:eastAsia="Times New Roman" w:hAnsi="Arial" w:cs="Arial"/>
                <w:color w:val="000000"/>
                <w:lang w:eastAsia="es-MX"/>
              </w:rPr>
            </w:pPr>
            <w:r>
              <w:rPr>
                <w:rFonts w:ascii="Arial" w:eastAsia="Times New Roman" w:hAnsi="Arial" w:cs="Arial"/>
                <w:color w:val="000000"/>
                <w:lang w:eastAsia="es-MX"/>
              </w:rPr>
              <w:t>Estimaciones, Depreciaciones, Deterioros, Obsolescencia y Amortizaciones</w:t>
            </w:r>
          </w:p>
        </w:tc>
        <w:tc>
          <w:tcPr>
            <w:tcW w:w="1794" w:type="dxa"/>
            <w:tcBorders>
              <w:top w:val="single" w:sz="4" w:space="0" w:color="auto"/>
              <w:left w:val="nil"/>
              <w:bottom w:val="single" w:sz="4" w:space="0" w:color="auto"/>
              <w:right w:val="single" w:sz="4" w:space="0" w:color="auto"/>
            </w:tcBorders>
            <w:shd w:val="clear" w:color="auto" w:fill="auto"/>
            <w:noWrap/>
            <w:vAlign w:val="bottom"/>
            <w:hideMark/>
          </w:tcPr>
          <w:p w14:paraId="1471F86A" w14:textId="77777777" w:rsidR="009D0D62" w:rsidRPr="00CA34F5" w:rsidRDefault="009D0D62" w:rsidP="00FF4ABA">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 xml:space="preserve">             259,159,102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7353B865" w14:textId="77777777" w:rsidR="009D0D62" w:rsidRPr="00CA34F5" w:rsidRDefault="009D0D62" w:rsidP="009D0D6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99.99</w:t>
            </w:r>
          </w:p>
        </w:tc>
      </w:tr>
      <w:tr w:rsidR="009D0D62" w:rsidRPr="00CA34F5" w14:paraId="13FA2565" w14:textId="77777777" w:rsidTr="00045AA2">
        <w:trPr>
          <w:trHeight w:val="315"/>
          <w:jc w:val="center"/>
        </w:trPr>
        <w:tc>
          <w:tcPr>
            <w:tcW w:w="6266" w:type="dxa"/>
            <w:tcBorders>
              <w:top w:val="nil"/>
              <w:left w:val="single" w:sz="4" w:space="0" w:color="auto"/>
              <w:bottom w:val="nil"/>
              <w:right w:val="single" w:sz="4" w:space="0" w:color="auto"/>
            </w:tcBorders>
            <w:shd w:val="clear" w:color="auto" w:fill="auto"/>
            <w:vAlign w:val="bottom"/>
            <w:hideMark/>
          </w:tcPr>
          <w:p w14:paraId="453AB29C" w14:textId="6A6442F2" w:rsidR="009D0D62" w:rsidRPr="00CA34F5" w:rsidRDefault="00780D40" w:rsidP="009D0D62">
            <w:pPr>
              <w:spacing w:after="0" w:line="240" w:lineRule="auto"/>
              <w:jc w:val="left"/>
              <w:rPr>
                <w:rFonts w:ascii="Arial" w:eastAsia="Times New Roman" w:hAnsi="Arial" w:cs="Arial"/>
                <w:color w:val="000000"/>
                <w:lang w:eastAsia="es-MX"/>
              </w:rPr>
            </w:pPr>
            <w:r>
              <w:rPr>
                <w:rFonts w:ascii="Arial" w:eastAsia="Times New Roman" w:hAnsi="Arial" w:cs="Arial"/>
                <w:color w:val="000000"/>
                <w:lang w:eastAsia="es-MX"/>
              </w:rPr>
              <w:t>Otros Gastos</w:t>
            </w:r>
          </w:p>
        </w:tc>
        <w:tc>
          <w:tcPr>
            <w:tcW w:w="1794" w:type="dxa"/>
            <w:tcBorders>
              <w:top w:val="nil"/>
              <w:left w:val="nil"/>
              <w:bottom w:val="nil"/>
              <w:right w:val="single" w:sz="4" w:space="0" w:color="auto"/>
            </w:tcBorders>
            <w:shd w:val="clear" w:color="auto" w:fill="auto"/>
            <w:noWrap/>
            <w:vAlign w:val="bottom"/>
            <w:hideMark/>
          </w:tcPr>
          <w:p w14:paraId="77E2EDA6" w14:textId="77777777" w:rsidR="009D0D62" w:rsidRPr="00CA34F5" w:rsidRDefault="009D0D62" w:rsidP="00FF4ABA">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 xml:space="preserve">                       18,322 </w:t>
            </w:r>
          </w:p>
        </w:tc>
        <w:tc>
          <w:tcPr>
            <w:tcW w:w="2200" w:type="dxa"/>
            <w:tcBorders>
              <w:top w:val="nil"/>
              <w:left w:val="nil"/>
              <w:bottom w:val="nil"/>
              <w:right w:val="single" w:sz="4" w:space="0" w:color="auto"/>
            </w:tcBorders>
            <w:shd w:val="clear" w:color="auto" w:fill="auto"/>
            <w:noWrap/>
            <w:vAlign w:val="bottom"/>
            <w:hideMark/>
          </w:tcPr>
          <w:p w14:paraId="57C3F77C" w14:textId="77777777" w:rsidR="009D0D62" w:rsidRPr="00CA34F5" w:rsidRDefault="009D0D62" w:rsidP="009D0D6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0.01</w:t>
            </w:r>
          </w:p>
        </w:tc>
      </w:tr>
      <w:tr w:rsidR="009D0D62" w:rsidRPr="00CA34F5" w14:paraId="7E9B3BC0" w14:textId="77777777" w:rsidTr="00045AA2">
        <w:trPr>
          <w:trHeight w:val="181"/>
          <w:jc w:val="center"/>
        </w:trPr>
        <w:tc>
          <w:tcPr>
            <w:tcW w:w="626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E7942E5" w14:textId="77777777" w:rsidR="009D0D62" w:rsidRPr="00CA34F5" w:rsidRDefault="009D0D62" w:rsidP="009D0D62">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Total</w:t>
            </w:r>
          </w:p>
        </w:tc>
        <w:tc>
          <w:tcPr>
            <w:tcW w:w="1794" w:type="dxa"/>
            <w:tcBorders>
              <w:top w:val="single" w:sz="8" w:space="0" w:color="auto"/>
              <w:left w:val="nil"/>
              <w:bottom w:val="single" w:sz="8" w:space="0" w:color="auto"/>
              <w:right w:val="single" w:sz="4" w:space="0" w:color="auto"/>
            </w:tcBorders>
            <w:shd w:val="clear" w:color="auto" w:fill="auto"/>
            <w:noWrap/>
            <w:vAlign w:val="bottom"/>
            <w:hideMark/>
          </w:tcPr>
          <w:p w14:paraId="0D0835AB" w14:textId="29AB270E" w:rsidR="009D0D62" w:rsidRPr="00CA34F5" w:rsidRDefault="009D0D62" w:rsidP="00FF4ABA">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           259,177,424 </w:t>
            </w:r>
          </w:p>
        </w:tc>
        <w:tc>
          <w:tcPr>
            <w:tcW w:w="2200" w:type="dxa"/>
            <w:tcBorders>
              <w:top w:val="single" w:sz="8" w:space="0" w:color="auto"/>
              <w:left w:val="nil"/>
              <w:bottom w:val="single" w:sz="8" w:space="0" w:color="auto"/>
              <w:right w:val="single" w:sz="8" w:space="0" w:color="auto"/>
            </w:tcBorders>
            <w:shd w:val="clear" w:color="auto" w:fill="auto"/>
            <w:noWrap/>
            <w:vAlign w:val="bottom"/>
            <w:hideMark/>
          </w:tcPr>
          <w:p w14:paraId="0EFF98F2" w14:textId="77777777" w:rsidR="009D0D62" w:rsidRPr="00CA34F5" w:rsidRDefault="009D0D62" w:rsidP="009D0D6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100</w:t>
            </w:r>
          </w:p>
        </w:tc>
      </w:tr>
    </w:tbl>
    <w:p w14:paraId="40DBC70F" w14:textId="77777777" w:rsidR="009D0D62" w:rsidRPr="00CA34F5" w:rsidRDefault="009D0D62" w:rsidP="002F0CFC">
      <w:pPr>
        <w:spacing w:after="0" w:line="240" w:lineRule="auto"/>
        <w:jc w:val="both"/>
        <w:rPr>
          <w:rFonts w:ascii="Arial" w:eastAsia="Times New Roman" w:hAnsi="Arial" w:cs="Arial"/>
          <w:color w:val="000000"/>
          <w:lang w:eastAsia="es-MX"/>
        </w:rPr>
      </w:pPr>
    </w:p>
    <w:p w14:paraId="448EF25C" w14:textId="26D3272B" w:rsidR="009D0D62" w:rsidRPr="00CA34F5" w:rsidRDefault="009D0D62" w:rsidP="009D0D6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El rubro</w:t>
      </w:r>
      <w:r w:rsidR="00A211DC" w:rsidRPr="00CA34F5">
        <w:rPr>
          <w:rFonts w:ascii="Arial" w:eastAsia="Times New Roman" w:hAnsi="Arial" w:cs="Arial"/>
          <w:color w:val="000000"/>
          <w:lang w:eastAsia="es-MX"/>
        </w:rPr>
        <w:t xml:space="preserve"> de Estimaciones, Depreciaciones, Deterioros, Obsoles</w:t>
      </w:r>
      <w:r w:rsidRPr="00CA34F5">
        <w:rPr>
          <w:rFonts w:ascii="Arial" w:eastAsia="Times New Roman" w:hAnsi="Arial" w:cs="Arial"/>
          <w:color w:val="000000"/>
          <w:lang w:eastAsia="es-MX"/>
        </w:rPr>
        <w:t xml:space="preserve">cencia y Amortizaciones es el  </w:t>
      </w:r>
      <w:r w:rsidRPr="00CA34F5">
        <w:rPr>
          <w:rFonts w:ascii="Arial" w:eastAsia="Times New Roman" w:hAnsi="Arial" w:cs="Arial"/>
          <w:b/>
          <w:bCs/>
          <w:color w:val="000000"/>
          <w:lang w:eastAsia="es-MX"/>
        </w:rPr>
        <w:t>0.45 %</w:t>
      </w:r>
      <w:r w:rsidRPr="00CA34F5">
        <w:rPr>
          <w:rFonts w:ascii="Arial" w:eastAsia="Times New Roman" w:hAnsi="Arial" w:cs="Arial"/>
          <w:color w:val="000000"/>
          <w:lang w:eastAsia="es-MX"/>
        </w:rPr>
        <w:t xml:space="preserve"> del Total de Gastos y Otras Pérdidas. </w:t>
      </w:r>
    </w:p>
    <w:p w14:paraId="52433965" w14:textId="77777777" w:rsidR="009D0D62" w:rsidRPr="00CA34F5" w:rsidRDefault="009D0D62" w:rsidP="002F0CFC">
      <w:pPr>
        <w:spacing w:after="0" w:line="240" w:lineRule="auto"/>
        <w:jc w:val="both"/>
        <w:rPr>
          <w:rFonts w:ascii="Arial" w:eastAsia="Times New Roman" w:hAnsi="Arial" w:cs="Arial"/>
          <w:color w:val="000000"/>
          <w:lang w:eastAsia="es-MX"/>
        </w:rPr>
      </w:pPr>
    </w:p>
    <w:tbl>
      <w:tblPr>
        <w:tblW w:w="10260" w:type="dxa"/>
        <w:jc w:val="center"/>
        <w:tblCellMar>
          <w:left w:w="70" w:type="dxa"/>
          <w:right w:w="70" w:type="dxa"/>
        </w:tblCellMar>
        <w:tblLook w:val="04A0" w:firstRow="1" w:lastRow="0" w:firstColumn="1" w:lastColumn="0" w:noHBand="0" w:noVBand="1"/>
      </w:tblPr>
      <w:tblGrid>
        <w:gridCol w:w="6280"/>
        <w:gridCol w:w="1780"/>
        <w:gridCol w:w="2200"/>
      </w:tblGrid>
      <w:tr w:rsidR="009D0D62" w:rsidRPr="00CA34F5" w14:paraId="11E1214F" w14:textId="77777777" w:rsidTr="00045AA2">
        <w:trPr>
          <w:trHeight w:val="300"/>
          <w:jc w:val="center"/>
        </w:trPr>
        <w:tc>
          <w:tcPr>
            <w:tcW w:w="628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974D4AB" w14:textId="77777777" w:rsidR="009D0D62" w:rsidRPr="00CA34F5" w:rsidRDefault="009D0D62" w:rsidP="009D0D6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Rubro que integra  Inversión Pública</w:t>
            </w:r>
          </w:p>
        </w:tc>
        <w:tc>
          <w:tcPr>
            <w:tcW w:w="1780" w:type="dxa"/>
            <w:tcBorders>
              <w:top w:val="single" w:sz="4" w:space="0" w:color="auto"/>
              <w:left w:val="nil"/>
              <w:bottom w:val="single" w:sz="4" w:space="0" w:color="auto"/>
              <w:right w:val="single" w:sz="4" w:space="0" w:color="auto"/>
            </w:tcBorders>
            <w:shd w:val="clear" w:color="000000" w:fill="A6A6A6"/>
            <w:noWrap/>
            <w:vAlign w:val="center"/>
            <w:hideMark/>
          </w:tcPr>
          <w:p w14:paraId="420F8082" w14:textId="77777777" w:rsidR="009D0D62" w:rsidRPr="00CA34F5" w:rsidRDefault="009D0D62" w:rsidP="009D0D6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 Importes </w:t>
            </w:r>
          </w:p>
        </w:tc>
        <w:tc>
          <w:tcPr>
            <w:tcW w:w="2200" w:type="dxa"/>
            <w:tcBorders>
              <w:top w:val="single" w:sz="4" w:space="0" w:color="auto"/>
              <w:left w:val="nil"/>
              <w:bottom w:val="single" w:sz="4" w:space="0" w:color="auto"/>
              <w:right w:val="single" w:sz="4" w:space="0" w:color="auto"/>
            </w:tcBorders>
            <w:shd w:val="clear" w:color="000000" w:fill="A6A6A6"/>
            <w:noWrap/>
            <w:vAlign w:val="center"/>
            <w:hideMark/>
          </w:tcPr>
          <w:p w14:paraId="67C1D3A4" w14:textId="77777777" w:rsidR="009D0D62" w:rsidRPr="00CA34F5" w:rsidRDefault="009D0D62" w:rsidP="009D0D62">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w:t>
            </w:r>
          </w:p>
        </w:tc>
      </w:tr>
      <w:tr w:rsidR="009D0D62" w:rsidRPr="00CA34F5" w14:paraId="073DBA86" w14:textId="77777777" w:rsidTr="00045AA2">
        <w:trPr>
          <w:trHeight w:val="300"/>
          <w:jc w:val="center"/>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14:paraId="04C7884E" w14:textId="1BA18985" w:rsidR="009D0D62" w:rsidRPr="00CA34F5" w:rsidRDefault="00780D40" w:rsidP="009D0D62">
            <w:pPr>
              <w:spacing w:after="0" w:line="240" w:lineRule="auto"/>
              <w:jc w:val="left"/>
              <w:rPr>
                <w:rFonts w:ascii="Arial" w:eastAsia="Times New Roman" w:hAnsi="Arial" w:cs="Arial"/>
                <w:color w:val="000000"/>
                <w:lang w:eastAsia="es-MX"/>
              </w:rPr>
            </w:pPr>
            <w:r>
              <w:rPr>
                <w:rFonts w:ascii="Arial" w:eastAsia="Times New Roman" w:hAnsi="Arial" w:cs="Arial"/>
                <w:color w:val="000000"/>
                <w:lang w:eastAsia="es-MX"/>
              </w:rPr>
              <w:t>Inversión Pública no Capitalizable</w:t>
            </w:r>
          </w:p>
        </w:tc>
        <w:tc>
          <w:tcPr>
            <w:tcW w:w="1780" w:type="dxa"/>
            <w:tcBorders>
              <w:top w:val="nil"/>
              <w:left w:val="nil"/>
              <w:bottom w:val="single" w:sz="4" w:space="0" w:color="auto"/>
              <w:right w:val="single" w:sz="4" w:space="0" w:color="auto"/>
            </w:tcBorders>
            <w:shd w:val="clear" w:color="auto" w:fill="auto"/>
            <w:noWrap/>
            <w:vAlign w:val="bottom"/>
            <w:hideMark/>
          </w:tcPr>
          <w:p w14:paraId="75C4B914" w14:textId="77777777" w:rsidR="009D0D62" w:rsidRPr="00CA34F5" w:rsidRDefault="009D0D62" w:rsidP="00FF4ABA">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 xml:space="preserve">         1,978,993,638 </w:t>
            </w:r>
          </w:p>
        </w:tc>
        <w:tc>
          <w:tcPr>
            <w:tcW w:w="2200" w:type="dxa"/>
            <w:tcBorders>
              <w:top w:val="nil"/>
              <w:left w:val="nil"/>
              <w:bottom w:val="single" w:sz="4" w:space="0" w:color="auto"/>
              <w:right w:val="single" w:sz="4" w:space="0" w:color="auto"/>
            </w:tcBorders>
            <w:shd w:val="clear" w:color="auto" w:fill="auto"/>
            <w:noWrap/>
            <w:vAlign w:val="bottom"/>
            <w:hideMark/>
          </w:tcPr>
          <w:p w14:paraId="16FD1C92" w14:textId="77777777" w:rsidR="009D0D62" w:rsidRPr="00CA34F5" w:rsidRDefault="009D0D62" w:rsidP="009D0D62">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100</w:t>
            </w:r>
          </w:p>
        </w:tc>
      </w:tr>
    </w:tbl>
    <w:p w14:paraId="3AF49428" w14:textId="77777777" w:rsidR="009D0D62" w:rsidRPr="00CA34F5" w:rsidRDefault="009D0D62" w:rsidP="002F0CFC">
      <w:pPr>
        <w:spacing w:after="0" w:line="240" w:lineRule="auto"/>
        <w:jc w:val="both"/>
        <w:rPr>
          <w:rFonts w:ascii="Arial" w:eastAsia="Times New Roman" w:hAnsi="Arial" w:cs="Arial"/>
          <w:color w:val="000000"/>
          <w:lang w:eastAsia="es-MX"/>
        </w:rPr>
      </w:pPr>
    </w:p>
    <w:p w14:paraId="77FDAF5B" w14:textId="77777777" w:rsidR="009D0D62" w:rsidRPr="00CA34F5" w:rsidRDefault="009D0D62" w:rsidP="002F0CFC">
      <w:pPr>
        <w:spacing w:after="0" w:line="240" w:lineRule="auto"/>
        <w:jc w:val="both"/>
        <w:rPr>
          <w:rFonts w:ascii="Arial" w:eastAsia="Times New Roman" w:hAnsi="Arial" w:cs="Arial"/>
          <w:color w:val="000000"/>
          <w:lang w:eastAsia="es-MX"/>
        </w:rPr>
      </w:pPr>
    </w:p>
    <w:p w14:paraId="1C2F5B28" w14:textId="5FC7B73C" w:rsidR="009D0D62" w:rsidRPr="00CA34F5" w:rsidRDefault="009D0D62" w:rsidP="009D0D6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 xml:space="preserve">El rubro de Inversión Pública no Capitalizable es el </w:t>
      </w:r>
      <w:r w:rsidRPr="00CA34F5">
        <w:rPr>
          <w:rFonts w:ascii="Arial" w:eastAsia="Times New Roman" w:hAnsi="Arial" w:cs="Arial"/>
          <w:b/>
          <w:bCs/>
          <w:color w:val="000000"/>
          <w:lang w:eastAsia="es-MX"/>
        </w:rPr>
        <w:t>3.42 %</w:t>
      </w:r>
      <w:r w:rsidR="00EE4C3C">
        <w:rPr>
          <w:rFonts w:ascii="Arial" w:eastAsia="Times New Roman" w:hAnsi="Arial" w:cs="Arial"/>
          <w:b/>
          <w:bCs/>
          <w:color w:val="000000"/>
          <w:lang w:eastAsia="es-MX"/>
        </w:rPr>
        <w:t xml:space="preserve"> </w:t>
      </w:r>
      <w:r w:rsidRPr="00CA34F5">
        <w:rPr>
          <w:rFonts w:ascii="Arial" w:eastAsia="Times New Roman" w:hAnsi="Arial" w:cs="Arial"/>
          <w:color w:val="000000"/>
          <w:lang w:eastAsia="es-MX"/>
        </w:rPr>
        <w:t xml:space="preserve">del Total de Gastos y Otras Pérdidas. </w:t>
      </w:r>
    </w:p>
    <w:p w14:paraId="5A3D23D4" w14:textId="77777777" w:rsidR="009D0D62" w:rsidRPr="00CA34F5" w:rsidRDefault="009D0D62" w:rsidP="002F0CFC">
      <w:pPr>
        <w:spacing w:after="0" w:line="240" w:lineRule="auto"/>
        <w:jc w:val="both"/>
        <w:rPr>
          <w:rFonts w:ascii="Arial" w:eastAsia="Times New Roman" w:hAnsi="Arial" w:cs="Arial"/>
          <w:color w:val="000000"/>
          <w:lang w:eastAsia="es-MX"/>
        </w:rPr>
      </w:pPr>
    </w:p>
    <w:p w14:paraId="169E5E51" w14:textId="77777777" w:rsidR="002F0CFC" w:rsidRPr="00CA34F5" w:rsidRDefault="002F0CFC" w:rsidP="000A4C31">
      <w:pPr>
        <w:spacing w:after="0" w:line="240" w:lineRule="auto"/>
        <w:jc w:val="both"/>
        <w:rPr>
          <w:rFonts w:ascii="Arial" w:eastAsia="Times New Roman" w:hAnsi="Arial" w:cs="Arial"/>
          <w:color w:val="000000"/>
          <w:lang w:eastAsia="es-MX"/>
        </w:rPr>
      </w:pPr>
    </w:p>
    <w:p w14:paraId="1C4ADBD1" w14:textId="77777777" w:rsidR="000375F0" w:rsidRPr="00CA34F5" w:rsidRDefault="000375F0" w:rsidP="00EC412C">
      <w:pPr>
        <w:spacing w:after="0" w:line="240" w:lineRule="auto"/>
        <w:jc w:val="left"/>
        <w:rPr>
          <w:rFonts w:ascii="Arial" w:hAnsi="Arial" w:cs="Arial"/>
          <w:b/>
          <w:bCs/>
          <w:lang w:eastAsia="es-MX"/>
        </w:rPr>
      </w:pPr>
      <w:r w:rsidRPr="00CA34F5">
        <w:rPr>
          <w:rFonts w:ascii="Arial" w:hAnsi="Arial" w:cs="Arial"/>
          <w:b/>
          <w:bCs/>
          <w:lang w:eastAsia="es-MX"/>
        </w:rPr>
        <w:t>III) NOTAS AL ESTADO DE VARIACIÓN EN LA HACIENDA PÚBLICA</w:t>
      </w:r>
    </w:p>
    <w:p w14:paraId="7EDF997E" w14:textId="77777777" w:rsidR="000375F0" w:rsidRPr="00CA34F5" w:rsidRDefault="000375F0" w:rsidP="000A4C31">
      <w:pPr>
        <w:spacing w:after="0" w:line="240" w:lineRule="auto"/>
        <w:ind w:firstLine="708"/>
        <w:jc w:val="both"/>
        <w:rPr>
          <w:rFonts w:ascii="Arial" w:hAnsi="Arial" w:cs="Arial"/>
          <w:b/>
        </w:rPr>
      </w:pPr>
    </w:p>
    <w:p w14:paraId="7B3DE146" w14:textId="77777777" w:rsidR="005B66AD" w:rsidRPr="00CA34F5" w:rsidRDefault="005B66AD" w:rsidP="000A4C31">
      <w:pPr>
        <w:spacing w:after="0" w:line="240" w:lineRule="auto"/>
        <w:ind w:firstLine="708"/>
        <w:jc w:val="both"/>
        <w:rPr>
          <w:rFonts w:ascii="Arial" w:hAnsi="Arial" w:cs="Arial"/>
          <w:b/>
        </w:rPr>
      </w:pPr>
    </w:p>
    <w:p w14:paraId="2BCD33A7" w14:textId="18FD8C66" w:rsidR="00267429" w:rsidRPr="00267429" w:rsidRDefault="00E2710E" w:rsidP="00284AE1">
      <w:pPr>
        <w:jc w:val="both"/>
        <w:rPr>
          <w:rFonts w:ascii="Arial" w:eastAsia="Times New Roman" w:hAnsi="Arial" w:cs="Arial"/>
          <w:color w:val="000000"/>
          <w:lang w:eastAsia="es-MX"/>
        </w:rPr>
      </w:pPr>
      <w:r w:rsidRPr="00CA34F5">
        <w:rPr>
          <w:rFonts w:ascii="Arial" w:hAnsi="Arial" w:cs="Arial"/>
        </w:rPr>
        <w:t>La variación neta en el</w:t>
      </w:r>
      <w:r w:rsidRPr="00CA34F5">
        <w:rPr>
          <w:rFonts w:ascii="Arial" w:eastAsia="Times New Roman" w:hAnsi="Arial" w:cs="Arial"/>
          <w:color w:val="000000"/>
          <w:lang w:eastAsia="es-MX"/>
        </w:rPr>
        <w:t xml:space="preserve"> total de Hacienda Pública/Patrimonio fue </w:t>
      </w:r>
      <w:r w:rsidRPr="00EB37EA">
        <w:rPr>
          <w:rFonts w:ascii="Arial" w:eastAsia="Times New Roman" w:hAnsi="Arial" w:cs="Arial"/>
          <w:b/>
          <w:color w:val="000000"/>
          <w:lang w:eastAsia="es-MX"/>
        </w:rPr>
        <w:t>$</w:t>
      </w:r>
      <w:r w:rsidR="0027442A">
        <w:rPr>
          <w:rFonts w:ascii="Arial" w:eastAsia="Times New Roman" w:hAnsi="Arial" w:cs="Arial"/>
          <w:b/>
          <w:color w:val="000000"/>
          <w:lang w:eastAsia="es-MX"/>
        </w:rPr>
        <w:t xml:space="preserve"> </w:t>
      </w:r>
      <w:r w:rsidRPr="00CA34F5">
        <w:rPr>
          <w:rFonts w:ascii="Arial" w:eastAsia="Times New Roman" w:hAnsi="Arial" w:cs="Arial"/>
          <w:color w:val="000000"/>
          <w:lang w:eastAsia="es-MX"/>
        </w:rPr>
        <w:t>-</w:t>
      </w:r>
      <w:r w:rsidRPr="00CA34F5">
        <w:rPr>
          <w:rFonts w:ascii="Arial" w:eastAsia="Times New Roman" w:hAnsi="Arial" w:cs="Arial"/>
          <w:b/>
          <w:color w:val="000000"/>
          <w:lang w:eastAsia="es-MX"/>
        </w:rPr>
        <w:t>2,368,054,452</w:t>
      </w:r>
      <w:r w:rsidRPr="00CA34F5">
        <w:rPr>
          <w:rFonts w:ascii="Arial" w:eastAsia="Times New Roman" w:hAnsi="Arial" w:cs="Arial"/>
          <w:color w:val="000000"/>
          <w:lang w:eastAsia="es-MX"/>
        </w:rPr>
        <w:t xml:space="preserve"> al pasar de $23,210,702,678 </w:t>
      </w:r>
      <w:r w:rsidR="0027442A">
        <w:rPr>
          <w:rFonts w:ascii="Arial" w:eastAsia="Times New Roman" w:hAnsi="Arial" w:cs="Arial"/>
          <w:color w:val="000000"/>
          <w:lang w:eastAsia="es-MX"/>
        </w:rPr>
        <w:t xml:space="preserve"> </w:t>
      </w:r>
      <w:r w:rsidRPr="00CA34F5">
        <w:rPr>
          <w:rFonts w:ascii="Arial" w:eastAsia="Times New Roman" w:hAnsi="Arial" w:cs="Arial"/>
          <w:color w:val="000000"/>
          <w:lang w:eastAsia="es-MX"/>
        </w:rPr>
        <w:t xml:space="preserve">en </w:t>
      </w:r>
      <w:r w:rsidR="0027442A">
        <w:rPr>
          <w:rFonts w:ascii="Arial" w:eastAsia="Times New Roman" w:hAnsi="Arial" w:cs="Arial"/>
          <w:color w:val="000000"/>
          <w:lang w:eastAsia="es-MX"/>
        </w:rPr>
        <w:t xml:space="preserve"> </w:t>
      </w:r>
      <w:r w:rsidRPr="00CA34F5">
        <w:rPr>
          <w:rFonts w:ascii="Arial" w:eastAsia="Times New Roman" w:hAnsi="Arial" w:cs="Arial"/>
          <w:color w:val="000000"/>
          <w:lang w:eastAsia="es-MX"/>
        </w:rPr>
        <w:t>el 2020</w:t>
      </w:r>
      <w:r w:rsidR="0027442A">
        <w:rPr>
          <w:rFonts w:ascii="Arial" w:eastAsia="Times New Roman" w:hAnsi="Arial" w:cs="Arial"/>
          <w:color w:val="000000"/>
          <w:lang w:eastAsia="es-MX"/>
        </w:rPr>
        <w:t xml:space="preserve"> </w:t>
      </w:r>
      <w:r w:rsidRPr="00CA34F5">
        <w:rPr>
          <w:rFonts w:ascii="Arial" w:eastAsia="Times New Roman" w:hAnsi="Arial" w:cs="Arial"/>
          <w:color w:val="000000"/>
          <w:lang w:eastAsia="es-MX"/>
        </w:rPr>
        <w:t xml:space="preserve"> a </w:t>
      </w:r>
      <w:r w:rsidR="0027442A">
        <w:rPr>
          <w:rFonts w:ascii="Arial" w:eastAsia="Times New Roman" w:hAnsi="Arial" w:cs="Arial"/>
          <w:color w:val="000000"/>
          <w:lang w:eastAsia="es-MX"/>
        </w:rPr>
        <w:t xml:space="preserve">           </w:t>
      </w:r>
      <w:r w:rsidRPr="00CA34F5">
        <w:rPr>
          <w:rFonts w:ascii="Arial" w:eastAsia="Times New Roman" w:hAnsi="Arial" w:cs="Arial"/>
          <w:color w:val="000000"/>
          <w:lang w:eastAsia="es-MX"/>
        </w:rPr>
        <w:t xml:space="preserve"> $ </w:t>
      </w:r>
      <w:r w:rsidRPr="00CA34F5">
        <w:rPr>
          <w:rFonts w:ascii="Arial" w:eastAsia="Times New Roman" w:hAnsi="Arial" w:cs="Arial"/>
          <w:b/>
          <w:bCs/>
          <w:color w:val="000000"/>
          <w:lang w:eastAsia="es-MX"/>
        </w:rPr>
        <w:t xml:space="preserve">20,842,648,226 </w:t>
      </w:r>
      <w:r w:rsidRPr="00CA34F5">
        <w:rPr>
          <w:rFonts w:ascii="Arial" w:hAnsi="Arial" w:cs="Arial"/>
        </w:rPr>
        <w:t xml:space="preserve">en el 2021; decremento que se </w:t>
      </w:r>
      <w:r w:rsidRPr="00CA34F5">
        <w:rPr>
          <w:rFonts w:ascii="Arial" w:eastAsia="Times New Roman" w:hAnsi="Arial" w:cs="Arial"/>
          <w:color w:val="000000"/>
          <w:lang w:eastAsia="es-MX"/>
        </w:rPr>
        <w:t>desglosa como sigue:</w:t>
      </w:r>
    </w:p>
    <w:tbl>
      <w:tblPr>
        <w:tblStyle w:val="Tablaconcuadrcula"/>
        <w:tblpPr w:leftFromText="141" w:rightFromText="141" w:vertAnchor="text" w:horzAnchor="margin" w:tblpXSpec="center" w:tblpY="160"/>
        <w:tblW w:w="0" w:type="auto"/>
        <w:tblLook w:val="04A0" w:firstRow="1" w:lastRow="0" w:firstColumn="1" w:lastColumn="0" w:noHBand="0" w:noVBand="1"/>
      </w:tblPr>
      <w:tblGrid>
        <w:gridCol w:w="10627"/>
        <w:gridCol w:w="2056"/>
      </w:tblGrid>
      <w:tr w:rsidR="00E2710E" w:rsidRPr="00CA34F5" w14:paraId="4342DD29" w14:textId="77777777" w:rsidTr="003E3C32">
        <w:tc>
          <w:tcPr>
            <w:tcW w:w="10627" w:type="dxa"/>
            <w:shd w:val="clear" w:color="auto" w:fill="A6A6A6" w:themeFill="background1" w:themeFillShade="A6"/>
          </w:tcPr>
          <w:p w14:paraId="7A663BD6" w14:textId="77777777" w:rsidR="00E2710E" w:rsidRPr="00CA34F5" w:rsidRDefault="00E2710E" w:rsidP="003E3C32">
            <w:pPr>
              <w:rPr>
                <w:rFonts w:ascii="Arial" w:eastAsia="Times New Roman" w:hAnsi="Arial" w:cs="Arial"/>
                <w:b/>
                <w:color w:val="000000"/>
                <w:lang w:eastAsia="es-MX"/>
              </w:rPr>
            </w:pPr>
            <w:r w:rsidRPr="00CA34F5">
              <w:rPr>
                <w:rFonts w:ascii="Arial" w:eastAsia="Times New Roman" w:hAnsi="Arial" w:cs="Arial"/>
                <w:b/>
                <w:color w:val="000000"/>
                <w:lang w:eastAsia="es-MX"/>
              </w:rPr>
              <w:lastRenderedPageBreak/>
              <w:t>Concepto</w:t>
            </w:r>
          </w:p>
        </w:tc>
        <w:tc>
          <w:tcPr>
            <w:tcW w:w="2056" w:type="dxa"/>
            <w:shd w:val="clear" w:color="auto" w:fill="A6A6A6" w:themeFill="background1" w:themeFillShade="A6"/>
          </w:tcPr>
          <w:p w14:paraId="3F127C99" w14:textId="77777777" w:rsidR="00E2710E" w:rsidRPr="00CA34F5" w:rsidRDefault="00E2710E" w:rsidP="003E3C32">
            <w:pPr>
              <w:rPr>
                <w:rFonts w:ascii="Arial" w:eastAsia="Times New Roman" w:hAnsi="Arial" w:cs="Arial"/>
                <w:b/>
                <w:color w:val="000000"/>
                <w:lang w:eastAsia="es-MX"/>
              </w:rPr>
            </w:pPr>
            <w:r w:rsidRPr="00CA34F5">
              <w:rPr>
                <w:rFonts w:ascii="Arial" w:eastAsia="Times New Roman" w:hAnsi="Arial" w:cs="Arial"/>
                <w:b/>
                <w:color w:val="000000"/>
                <w:lang w:eastAsia="es-MX"/>
              </w:rPr>
              <w:t>Variación</w:t>
            </w:r>
          </w:p>
        </w:tc>
      </w:tr>
      <w:tr w:rsidR="00E2710E" w:rsidRPr="00CA34F5" w14:paraId="5A6C7725" w14:textId="77777777" w:rsidTr="003E3C32">
        <w:tc>
          <w:tcPr>
            <w:tcW w:w="10627" w:type="dxa"/>
          </w:tcPr>
          <w:p w14:paraId="772B5717" w14:textId="3DF833ED" w:rsidR="00E2710E" w:rsidRPr="00CA34F5" w:rsidRDefault="00E2710E" w:rsidP="003E3C32">
            <w:pPr>
              <w:jc w:val="both"/>
              <w:rPr>
                <w:rFonts w:ascii="Arial" w:eastAsia="Times New Roman" w:hAnsi="Arial" w:cs="Arial"/>
                <w:color w:val="000000"/>
                <w:lang w:eastAsia="es-MX"/>
              </w:rPr>
            </w:pPr>
            <w:r w:rsidRPr="00CA34F5">
              <w:rPr>
                <w:rFonts w:ascii="Arial" w:hAnsi="Arial" w:cs="Arial"/>
              </w:rPr>
              <w:t>Hacienda Pública/Patrimonio Contribuido, incremento en Donaciones de Capital</w:t>
            </w:r>
            <w:r w:rsidR="00BB3169">
              <w:rPr>
                <w:rFonts w:ascii="Arial" w:hAnsi="Arial" w:cs="Arial"/>
              </w:rPr>
              <w:t>.</w:t>
            </w:r>
          </w:p>
        </w:tc>
        <w:tc>
          <w:tcPr>
            <w:tcW w:w="2056" w:type="dxa"/>
            <w:vAlign w:val="center"/>
          </w:tcPr>
          <w:p w14:paraId="54B90E75" w14:textId="77777777" w:rsidR="00E2710E" w:rsidRPr="00CA34F5" w:rsidRDefault="00E2710E" w:rsidP="003E3C32">
            <w:pPr>
              <w:jc w:val="both"/>
              <w:rPr>
                <w:rFonts w:ascii="Arial" w:hAnsi="Arial" w:cs="Arial"/>
                <w:b/>
                <w:bCs/>
                <w:color w:val="000000"/>
              </w:rPr>
            </w:pPr>
            <w:r w:rsidRPr="00CA34F5">
              <w:rPr>
                <w:rFonts w:ascii="Arial" w:hAnsi="Arial" w:cs="Arial"/>
                <w:b/>
                <w:bCs/>
                <w:color w:val="000000"/>
              </w:rPr>
              <w:t xml:space="preserve">           $ 1,182,536</w:t>
            </w:r>
          </w:p>
        </w:tc>
      </w:tr>
      <w:tr w:rsidR="00E2710E" w:rsidRPr="00CA34F5" w14:paraId="74135212" w14:textId="77777777" w:rsidTr="003E3C32">
        <w:tc>
          <w:tcPr>
            <w:tcW w:w="10627" w:type="dxa"/>
          </w:tcPr>
          <w:p w14:paraId="0E239BB7" w14:textId="32AC183F" w:rsidR="00E2710E" w:rsidRPr="00CA34F5" w:rsidRDefault="00E2710E" w:rsidP="003E3C32">
            <w:pPr>
              <w:jc w:val="both"/>
              <w:rPr>
                <w:rFonts w:ascii="Arial" w:eastAsia="Times New Roman" w:hAnsi="Arial" w:cs="Arial"/>
                <w:color w:val="000000"/>
                <w:lang w:eastAsia="es-MX"/>
              </w:rPr>
            </w:pPr>
            <w:r w:rsidRPr="00CA34F5">
              <w:rPr>
                <w:rFonts w:ascii="Arial" w:hAnsi="Arial" w:cs="Arial"/>
              </w:rPr>
              <w:t>Hacienda Pública/Patrimonio Generado de Ejercicios Anteriores, decremento neto</w:t>
            </w:r>
            <w:r w:rsidR="00EE0752">
              <w:rPr>
                <w:rFonts w:ascii="Arial" w:hAnsi="Arial" w:cs="Arial"/>
              </w:rPr>
              <w:t xml:space="preserve"> por registro</w:t>
            </w:r>
            <w:r w:rsidR="00A104CC">
              <w:rPr>
                <w:rFonts w:ascii="Arial" w:hAnsi="Arial" w:cs="Arial"/>
              </w:rPr>
              <w:t xml:space="preserve"> de las Obras en Proceso</w:t>
            </w:r>
            <w:r w:rsidR="00224485">
              <w:rPr>
                <w:rFonts w:ascii="Arial" w:hAnsi="Arial" w:cs="Arial"/>
              </w:rPr>
              <w:t xml:space="preserve"> no Capitalizables te</w:t>
            </w:r>
            <w:r w:rsidR="007F7BCC">
              <w:rPr>
                <w:rFonts w:ascii="Arial" w:hAnsi="Arial" w:cs="Arial"/>
              </w:rPr>
              <w:t xml:space="preserve">rminadas de ejercicios anteriores por </w:t>
            </w:r>
            <w:r w:rsidR="008D1BF9">
              <w:rPr>
                <w:rFonts w:ascii="Arial" w:hAnsi="Arial" w:cs="Arial"/>
              </w:rPr>
              <w:t>$</w:t>
            </w:r>
            <w:r w:rsidR="002B7A39">
              <w:rPr>
                <w:rFonts w:ascii="Arial" w:hAnsi="Arial" w:cs="Arial"/>
              </w:rPr>
              <w:t xml:space="preserve"> </w:t>
            </w:r>
            <w:r w:rsidR="008D1BF9">
              <w:rPr>
                <w:rFonts w:ascii="Arial" w:hAnsi="Arial" w:cs="Arial"/>
              </w:rPr>
              <w:t>-1</w:t>
            </w:r>
            <w:proofErr w:type="gramStart"/>
            <w:r w:rsidR="008D1BF9">
              <w:rPr>
                <w:rFonts w:ascii="Arial" w:hAnsi="Arial" w:cs="Arial"/>
              </w:rPr>
              <w:t>,820,014,055</w:t>
            </w:r>
            <w:proofErr w:type="gramEnd"/>
            <w:r w:rsidR="002B7A39">
              <w:rPr>
                <w:rFonts w:ascii="Arial" w:hAnsi="Arial" w:cs="Arial"/>
              </w:rPr>
              <w:t>,</w:t>
            </w:r>
            <w:r w:rsidR="008D1BF9">
              <w:rPr>
                <w:rFonts w:ascii="Arial" w:hAnsi="Arial" w:cs="Arial"/>
              </w:rPr>
              <w:t xml:space="preserve"> más el resultado del ejercicio 2020 por $24,022,507</w:t>
            </w:r>
            <w:r w:rsidR="00BB3169">
              <w:rPr>
                <w:rFonts w:ascii="Arial" w:hAnsi="Arial" w:cs="Arial"/>
              </w:rPr>
              <w:t>.</w:t>
            </w:r>
          </w:p>
        </w:tc>
        <w:tc>
          <w:tcPr>
            <w:tcW w:w="2056" w:type="dxa"/>
            <w:vAlign w:val="center"/>
          </w:tcPr>
          <w:p w14:paraId="071963B9" w14:textId="77777777" w:rsidR="00E2710E" w:rsidRPr="00CA34F5" w:rsidRDefault="00E2710E" w:rsidP="003E3C32">
            <w:pPr>
              <w:jc w:val="both"/>
              <w:rPr>
                <w:rFonts w:ascii="Arial" w:hAnsi="Arial" w:cs="Arial"/>
                <w:b/>
                <w:color w:val="000000"/>
              </w:rPr>
            </w:pPr>
            <w:r w:rsidRPr="00CA34F5">
              <w:rPr>
                <w:rFonts w:ascii="Arial" w:hAnsi="Arial" w:cs="Arial"/>
                <w:b/>
              </w:rPr>
              <w:t xml:space="preserve">   $</w:t>
            </w:r>
            <w:r w:rsidRPr="00CA34F5">
              <w:rPr>
                <w:rFonts w:ascii="Arial" w:hAnsi="Arial" w:cs="Arial"/>
                <w:b/>
                <w:color w:val="000000"/>
              </w:rPr>
              <w:t xml:space="preserve"> -1,795,991,548</w:t>
            </w:r>
          </w:p>
        </w:tc>
      </w:tr>
      <w:tr w:rsidR="00E2710E" w:rsidRPr="00CA34F5" w14:paraId="41D5E254" w14:textId="77777777" w:rsidTr="003E3C32">
        <w:tc>
          <w:tcPr>
            <w:tcW w:w="10627" w:type="dxa"/>
          </w:tcPr>
          <w:p w14:paraId="244080A4" w14:textId="77777777" w:rsidR="00E2710E" w:rsidRPr="00CA34F5" w:rsidRDefault="00E2710E" w:rsidP="003E3C32">
            <w:pPr>
              <w:jc w:val="left"/>
              <w:rPr>
                <w:rFonts w:ascii="Arial" w:hAnsi="Arial" w:cs="Arial"/>
              </w:rPr>
            </w:pPr>
            <w:r w:rsidRPr="00CA34F5">
              <w:rPr>
                <w:rFonts w:ascii="Arial" w:hAnsi="Arial" w:cs="Arial"/>
              </w:rPr>
              <w:t>Hacienda Pública/Patrimonio Generado del ejercicio, incremento neto</w:t>
            </w:r>
          </w:p>
          <w:p w14:paraId="5993D00B" w14:textId="77777777" w:rsidR="00E2710E" w:rsidRPr="00CA34F5" w:rsidRDefault="00E2710E" w:rsidP="003E3C32">
            <w:pPr>
              <w:jc w:val="left"/>
              <w:rPr>
                <w:rFonts w:ascii="Arial" w:hAnsi="Arial" w:cs="Arial"/>
                <w:b/>
                <w:color w:val="000000"/>
              </w:rPr>
            </w:pPr>
            <w:r w:rsidRPr="00CA34F5">
              <w:rPr>
                <w:rFonts w:ascii="Arial" w:hAnsi="Arial" w:cs="Arial"/>
              </w:rPr>
              <w:t xml:space="preserve">Integrado por Resultado del ejercicio 2021, consistente en Desahorro de                              </w:t>
            </w:r>
            <w:r w:rsidRPr="00267429">
              <w:rPr>
                <w:rFonts w:ascii="Arial" w:hAnsi="Arial" w:cs="Arial"/>
                <w:b/>
              </w:rPr>
              <w:t>$</w:t>
            </w:r>
            <w:r w:rsidRPr="00CA34F5">
              <w:rPr>
                <w:rFonts w:ascii="Arial" w:hAnsi="Arial" w:cs="Arial"/>
              </w:rPr>
              <w:t xml:space="preserve"> </w:t>
            </w:r>
            <w:r w:rsidRPr="00CA34F5">
              <w:rPr>
                <w:rFonts w:ascii="Arial" w:hAnsi="Arial" w:cs="Arial"/>
                <w:color w:val="000000"/>
              </w:rPr>
              <w:t>-</w:t>
            </w:r>
            <w:r w:rsidRPr="00CA34F5">
              <w:rPr>
                <w:rFonts w:ascii="Arial" w:hAnsi="Arial" w:cs="Arial"/>
                <w:b/>
                <w:color w:val="000000"/>
              </w:rPr>
              <w:t>554,956,682</w:t>
            </w:r>
          </w:p>
          <w:p w14:paraId="16A1263E" w14:textId="77777777" w:rsidR="00E2710E" w:rsidRPr="00CA34F5" w:rsidRDefault="00E2710E" w:rsidP="003E3C32">
            <w:pPr>
              <w:jc w:val="left"/>
              <w:rPr>
                <w:rFonts w:ascii="Arial" w:eastAsia="Times New Roman" w:hAnsi="Arial" w:cs="Arial"/>
                <w:b/>
                <w:color w:val="000000"/>
                <w:lang w:eastAsia="es-MX"/>
              </w:rPr>
            </w:pPr>
            <w:r w:rsidRPr="00CA34F5">
              <w:rPr>
                <w:rFonts w:ascii="Arial" w:hAnsi="Arial" w:cs="Arial"/>
              </w:rPr>
              <w:t xml:space="preserve">menos Resultado del ejercicio 2020 </w:t>
            </w:r>
            <w:r w:rsidRPr="00CA34F5">
              <w:rPr>
                <w:rFonts w:ascii="Arial" w:eastAsia="Times New Roman" w:hAnsi="Arial" w:cs="Arial"/>
                <w:color w:val="000000"/>
                <w:lang w:eastAsia="es-MX"/>
              </w:rPr>
              <w:t xml:space="preserve">traspasado </w:t>
            </w:r>
            <w:r w:rsidRPr="00CA34F5">
              <w:rPr>
                <w:rFonts w:ascii="Arial" w:hAnsi="Arial" w:cs="Arial"/>
              </w:rPr>
              <w:t xml:space="preserve">el 01 enero 2021 a Resultados de                                                      Ejercicios Anteriores por norma del Consejo Nacional de Armonización Contable                 </w:t>
            </w:r>
            <w:r w:rsidRPr="00CA34F5">
              <w:rPr>
                <w:rFonts w:ascii="Arial" w:hAnsi="Arial" w:cs="Arial"/>
                <w:b/>
              </w:rPr>
              <w:t xml:space="preserve">$   </w:t>
            </w:r>
            <w:r w:rsidRPr="00CA34F5">
              <w:rPr>
                <w:rFonts w:ascii="Arial" w:hAnsi="Arial" w:cs="Arial"/>
                <w:b/>
                <w:color w:val="000000"/>
              </w:rPr>
              <w:t>-</w:t>
            </w:r>
            <w:r w:rsidRPr="00CA34F5">
              <w:rPr>
                <w:rFonts w:ascii="Arial" w:eastAsia="Times New Roman" w:hAnsi="Arial" w:cs="Arial"/>
                <w:b/>
                <w:color w:val="000000"/>
                <w:lang w:eastAsia="es-MX"/>
              </w:rPr>
              <w:t>24,022,507</w:t>
            </w:r>
          </w:p>
          <w:p w14:paraId="3F44CFBF" w14:textId="00BE039E" w:rsidR="00E2710E" w:rsidRPr="00CA34F5" w:rsidRDefault="002A7964" w:rsidP="003E3C32">
            <w:pPr>
              <w:jc w:val="both"/>
              <w:rPr>
                <w:rFonts w:ascii="Arial" w:eastAsia="Times New Roman" w:hAnsi="Arial" w:cs="Arial"/>
                <w:b/>
                <w:color w:val="000000"/>
                <w:lang w:eastAsia="es-MX"/>
              </w:rPr>
            </w:pPr>
            <w:r>
              <w:rPr>
                <w:rFonts w:ascii="Arial" w:hAnsi="Arial" w:cs="Arial"/>
              </w:rPr>
              <w:t>Más</w:t>
            </w:r>
            <w:r w:rsidR="00E2710E" w:rsidRPr="00CA34F5">
              <w:rPr>
                <w:rFonts w:ascii="Arial" w:hAnsi="Arial" w:cs="Arial"/>
              </w:rPr>
              <w:t xml:space="preserve"> movimiento neto del rubro Rectificaciones de Resultados de Ejercicios Anteriores</w:t>
            </w:r>
            <w:r w:rsidR="00BB3169">
              <w:rPr>
                <w:rFonts w:ascii="Arial" w:hAnsi="Arial" w:cs="Arial"/>
              </w:rPr>
              <w:t>.</w:t>
            </w:r>
            <w:r w:rsidR="002B7A39">
              <w:rPr>
                <w:rFonts w:ascii="Arial" w:hAnsi="Arial" w:cs="Arial"/>
              </w:rPr>
              <w:t xml:space="preserve">     </w:t>
            </w:r>
            <w:r w:rsidR="00E2710E" w:rsidRPr="00CA34F5">
              <w:rPr>
                <w:rFonts w:ascii="Arial" w:hAnsi="Arial" w:cs="Arial"/>
              </w:rPr>
              <w:t xml:space="preserve">  </w:t>
            </w:r>
            <w:r w:rsidR="00E2710E" w:rsidRPr="00CA34F5">
              <w:rPr>
                <w:rFonts w:ascii="Arial" w:hAnsi="Arial" w:cs="Arial"/>
                <w:b/>
              </w:rPr>
              <w:t xml:space="preserve">$   </w:t>
            </w:r>
            <w:r w:rsidR="00E2710E" w:rsidRPr="00CA34F5">
              <w:rPr>
                <w:rFonts w:ascii="Arial" w:eastAsia="Times New Roman" w:hAnsi="Arial" w:cs="Arial"/>
                <w:b/>
                <w:color w:val="000000"/>
                <w:lang w:eastAsia="es-MX"/>
              </w:rPr>
              <w:t xml:space="preserve">   </w:t>
            </w:r>
            <w:r w:rsidR="00E2710E" w:rsidRPr="00CA34F5">
              <w:rPr>
                <w:rFonts w:ascii="Arial" w:hAnsi="Arial" w:cs="Arial"/>
                <w:b/>
                <w:color w:val="000000"/>
              </w:rPr>
              <w:t>5,733,749</w:t>
            </w:r>
          </w:p>
        </w:tc>
        <w:tc>
          <w:tcPr>
            <w:tcW w:w="2056" w:type="dxa"/>
            <w:vAlign w:val="center"/>
          </w:tcPr>
          <w:p w14:paraId="4DE2A734" w14:textId="77777777" w:rsidR="00E2710E" w:rsidRPr="00CA34F5" w:rsidRDefault="00E2710E" w:rsidP="003E3C32">
            <w:pPr>
              <w:jc w:val="both"/>
              <w:rPr>
                <w:rFonts w:ascii="Arial" w:hAnsi="Arial" w:cs="Arial"/>
                <w:b/>
              </w:rPr>
            </w:pPr>
            <w:r w:rsidRPr="00CA34F5">
              <w:rPr>
                <w:rFonts w:ascii="Arial" w:hAnsi="Arial" w:cs="Arial"/>
                <w:b/>
              </w:rPr>
              <w:t xml:space="preserve">    </w:t>
            </w:r>
          </w:p>
          <w:p w14:paraId="1ACCE1BE" w14:textId="17E51AAF" w:rsidR="00E2710E" w:rsidRPr="00CA34F5" w:rsidRDefault="00E2710E" w:rsidP="00A96056">
            <w:pPr>
              <w:jc w:val="both"/>
              <w:rPr>
                <w:rFonts w:ascii="Arial" w:hAnsi="Arial" w:cs="Arial"/>
                <w:b/>
                <w:bCs/>
                <w:color w:val="000000"/>
              </w:rPr>
            </w:pPr>
            <w:r w:rsidRPr="00CA34F5">
              <w:rPr>
                <w:rFonts w:ascii="Arial" w:hAnsi="Arial" w:cs="Arial"/>
                <w:b/>
              </w:rPr>
              <w:t xml:space="preserve">    $   </w:t>
            </w:r>
            <w:r w:rsidRPr="00CA34F5">
              <w:rPr>
                <w:rFonts w:ascii="Arial" w:hAnsi="Arial" w:cs="Arial"/>
                <w:b/>
                <w:color w:val="000000"/>
              </w:rPr>
              <w:t>-</w:t>
            </w:r>
            <w:r w:rsidRPr="00CA34F5">
              <w:rPr>
                <w:rFonts w:ascii="Arial" w:hAnsi="Arial" w:cs="Arial"/>
                <w:b/>
                <w:bCs/>
                <w:color w:val="000000"/>
              </w:rPr>
              <w:t>573,245,440</w:t>
            </w:r>
          </w:p>
          <w:p w14:paraId="40FCEB26" w14:textId="77777777" w:rsidR="00E2710E" w:rsidRPr="00CA34F5" w:rsidRDefault="00E2710E" w:rsidP="003E3C32">
            <w:pPr>
              <w:jc w:val="both"/>
              <w:rPr>
                <w:rFonts w:ascii="Arial" w:eastAsia="Times New Roman" w:hAnsi="Arial" w:cs="Arial"/>
                <w:color w:val="000000"/>
                <w:lang w:eastAsia="es-MX"/>
              </w:rPr>
            </w:pPr>
          </w:p>
        </w:tc>
      </w:tr>
      <w:tr w:rsidR="00E2710E" w:rsidRPr="00CA34F5" w14:paraId="7293F250" w14:textId="77777777" w:rsidTr="003E3C32">
        <w:trPr>
          <w:trHeight w:val="384"/>
        </w:trPr>
        <w:tc>
          <w:tcPr>
            <w:tcW w:w="10627" w:type="dxa"/>
            <w:vAlign w:val="center"/>
          </w:tcPr>
          <w:p w14:paraId="45587BF8" w14:textId="77777777" w:rsidR="00E2710E" w:rsidRPr="00CA34F5" w:rsidRDefault="00E2710E" w:rsidP="003E3C32">
            <w:pPr>
              <w:jc w:val="right"/>
              <w:rPr>
                <w:rFonts w:ascii="Arial" w:eastAsia="Times New Roman" w:hAnsi="Arial" w:cs="Arial"/>
                <w:b/>
                <w:color w:val="000000"/>
                <w:lang w:eastAsia="es-MX"/>
              </w:rPr>
            </w:pPr>
            <w:r w:rsidRPr="00CA34F5">
              <w:rPr>
                <w:rFonts w:ascii="Arial" w:eastAsia="Times New Roman" w:hAnsi="Arial" w:cs="Arial"/>
                <w:b/>
                <w:color w:val="000000"/>
                <w:lang w:eastAsia="es-MX"/>
              </w:rPr>
              <w:t>Incremento neto</w:t>
            </w:r>
          </w:p>
        </w:tc>
        <w:tc>
          <w:tcPr>
            <w:tcW w:w="2056" w:type="dxa"/>
            <w:vAlign w:val="center"/>
          </w:tcPr>
          <w:p w14:paraId="6E98AF8F" w14:textId="77777777" w:rsidR="00E2710E" w:rsidRPr="00CA34F5" w:rsidRDefault="00E2710E" w:rsidP="003E3C32">
            <w:pPr>
              <w:jc w:val="right"/>
              <w:rPr>
                <w:rFonts w:ascii="Arial" w:eastAsia="Times New Roman" w:hAnsi="Arial" w:cs="Arial"/>
                <w:b/>
                <w:color w:val="000000"/>
                <w:lang w:eastAsia="es-MX"/>
              </w:rPr>
            </w:pPr>
            <w:r w:rsidRPr="00CA34F5">
              <w:rPr>
                <w:rFonts w:ascii="Arial" w:eastAsia="Times New Roman" w:hAnsi="Arial" w:cs="Arial"/>
                <w:color w:val="000000"/>
                <w:lang w:eastAsia="es-MX"/>
              </w:rPr>
              <w:t>$-</w:t>
            </w:r>
            <w:r w:rsidRPr="00CA34F5">
              <w:rPr>
                <w:rFonts w:ascii="Arial" w:eastAsia="Times New Roman" w:hAnsi="Arial" w:cs="Arial"/>
                <w:b/>
                <w:color w:val="000000"/>
                <w:lang w:eastAsia="es-MX"/>
              </w:rPr>
              <w:t>2,368,054,452</w:t>
            </w:r>
          </w:p>
        </w:tc>
      </w:tr>
    </w:tbl>
    <w:p w14:paraId="40C5EC69" w14:textId="77777777" w:rsidR="005B66AD" w:rsidRPr="00CA34F5" w:rsidRDefault="005B66AD" w:rsidP="000A4C31">
      <w:pPr>
        <w:spacing w:after="0" w:line="240" w:lineRule="auto"/>
        <w:ind w:firstLine="708"/>
        <w:jc w:val="both"/>
        <w:rPr>
          <w:rFonts w:ascii="Arial" w:hAnsi="Arial" w:cs="Arial"/>
          <w:b/>
        </w:rPr>
      </w:pPr>
    </w:p>
    <w:p w14:paraId="040B4579" w14:textId="77777777" w:rsidR="005B66AD" w:rsidRPr="00CA34F5" w:rsidRDefault="005B66AD" w:rsidP="000A4C31">
      <w:pPr>
        <w:spacing w:after="0" w:line="240" w:lineRule="auto"/>
        <w:ind w:firstLine="708"/>
        <w:jc w:val="both"/>
        <w:rPr>
          <w:rFonts w:ascii="Arial" w:hAnsi="Arial" w:cs="Arial"/>
          <w:b/>
        </w:rPr>
      </w:pPr>
    </w:p>
    <w:p w14:paraId="510E8BA4" w14:textId="77777777" w:rsidR="00C237CA" w:rsidRPr="00CA34F5" w:rsidRDefault="00C237CA" w:rsidP="000A4C31">
      <w:pPr>
        <w:spacing w:after="0" w:line="240" w:lineRule="auto"/>
        <w:jc w:val="both"/>
        <w:rPr>
          <w:rFonts w:ascii="Arial" w:hAnsi="Arial" w:cs="Arial"/>
          <w:b/>
          <w:bCs/>
          <w:lang w:eastAsia="es-MX"/>
        </w:rPr>
      </w:pPr>
      <w:r w:rsidRPr="00CA34F5">
        <w:rPr>
          <w:rFonts w:ascii="Arial" w:hAnsi="Arial" w:cs="Arial"/>
          <w:b/>
          <w:bCs/>
          <w:lang w:eastAsia="es-MX"/>
        </w:rPr>
        <w:t>IV) NOTAS AL ESTADO DE FLUJOS DE EFECTIVO</w:t>
      </w:r>
    </w:p>
    <w:p w14:paraId="360FF4E3" w14:textId="77777777" w:rsidR="00C237CA" w:rsidRPr="00CA34F5" w:rsidRDefault="00C237CA" w:rsidP="000A4C31">
      <w:pPr>
        <w:spacing w:after="0" w:line="240" w:lineRule="auto"/>
        <w:jc w:val="both"/>
        <w:rPr>
          <w:rFonts w:ascii="Arial" w:hAnsi="Arial" w:cs="Arial"/>
          <w:b/>
        </w:rPr>
      </w:pPr>
    </w:p>
    <w:p w14:paraId="1D3267EE" w14:textId="77777777" w:rsidR="00C237CA" w:rsidRPr="00CA34F5" w:rsidRDefault="00C237CA" w:rsidP="000A4C31">
      <w:pPr>
        <w:spacing w:after="0" w:line="240" w:lineRule="auto"/>
        <w:jc w:val="both"/>
        <w:rPr>
          <w:rFonts w:ascii="Arial" w:hAnsi="Arial" w:cs="Arial"/>
          <w:b/>
        </w:rPr>
      </w:pPr>
      <w:r w:rsidRPr="00CA34F5">
        <w:rPr>
          <w:rFonts w:ascii="Arial" w:hAnsi="Arial" w:cs="Arial"/>
          <w:b/>
        </w:rPr>
        <w:t>Efectivo y Equivalentes</w:t>
      </w:r>
    </w:p>
    <w:p w14:paraId="31C9E988" w14:textId="77777777" w:rsidR="00C237CA" w:rsidRPr="00CA34F5" w:rsidRDefault="00C237CA" w:rsidP="000A4C31">
      <w:pPr>
        <w:spacing w:after="0" w:line="240" w:lineRule="auto"/>
        <w:jc w:val="both"/>
        <w:rPr>
          <w:rFonts w:ascii="Arial" w:hAnsi="Arial" w:cs="Arial"/>
          <w:b/>
        </w:rPr>
      </w:pPr>
    </w:p>
    <w:p w14:paraId="6B8A59AA" w14:textId="77777777" w:rsidR="00C9355D" w:rsidRPr="00CA34F5" w:rsidRDefault="00C9355D" w:rsidP="00C9355D">
      <w:pPr>
        <w:pStyle w:val="Prrafodelista"/>
        <w:numPr>
          <w:ilvl w:val="0"/>
          <w:numId w:val="30"/>
        </w:numPr>
        <w:jc w:val="both"/>
        <w:rPr>
          <w:rFonts w:ascii="Arial" w:hAnsi="Arial" w:cs="Arial"/>
        </w:rPr>
      </w:pPr>
      <w:r w:rsidRPr="00CA34F5">
        <w:rPr>
          <w:rFonts w:ascii="Arial" w:hAnsi="Arial" w:cs="Arial"/>
        </w:rPr>
        <w:t xml:space="preserve">El análisis del saldo final que figura en la última parte del Estado de Flujos de Efectivo en la cuenta de efectivo y equivalentes es como sigue:      </w:t>
      </w:r>
    </w:p>
    <w:p w14:paraId="6B6591F8" w14:textId="77777777" w:rsidR="00C9355D" w:rsidRPr="00CA34F5" w:rsidRDefault="00C9355D" w:rsidP="000A4C31">
      <w:pPr>
        <w:spacing w:after="0" w:line="240" w:lineRule="auto"/>
        <w:jc w:val="both"/>
        <w:rPr>
          <w:rFonts w:ascii="Arial" w:hAnsi="Arial" w:cs="Arial"/>
          <w:b/>
        </w:rPr>
      </w:pPr>
    </w:p>
    <w:tbl>
      <w:tblPr>
        <w:tblW w:w="8222" w:type="dxa"/>
        <w:jc w:val="center"/>
        <w:tblCellMar>
          <w:left w:w="70" w:type="dxa"/>
          <w:right w:w="70" w:type="dxa"/>
        </w:tblCellMar>
        <w:tblLook w:val="04A0" w:firstRow="1" w:lastRow="0" w:firstColumn="1" w:lastColumn="0" w:noHBand="0" w:noVBand="1"/>
      </w:tblPr>
      <w:tblGrid>
        <w:gridCol w:w="4112"/>
        <w:gridCol w:w="2409"/>
        <w:gridCol w:w="1701"/>
      </w:tblGrid>
      <w:tr w:rsidR="00267429" w:rsidRPr="00CA34F5" w14:paraId="1AD2A9B1" w14:textId="77777777" w:rsidTr="00267429">
        <w:trPr>
          <w:trHeight w:val="255"/>
          <w:jc w:val="center"/>
        </w:trPr>
        <w:tc>
          <w:tcPr>
            <w:tcW w:w="411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5BDFC9F" w14:textId="77777777" w:rsidR="00267429" w:rsidRPr="00CA34F5" w:rsidRDefault="00267429" w:rsidP="003E3C32">
            <w:pPr>
              <w:spacing w:after="0" w:line="240" w:lineRule="auto"/>
              <w:rPr>
                <w:rFonts w:ascii="Arial" w:eastAsia="Times New Roman" w:hAnsi="Arial" w:cs="Arial"/>
                <w:b/>
                <w:bCs/>
                <w:lang w:eastAsia="es-MX"/>
              </w:rPr>
            </w:pPr>
            <w:r w:rsidRPr="00CA34F5">
              <w:rPr>
                <w:rFonts w:ascii="Arial" w:eastAsia="Times New Roman" w:hAnsi="Arial" w:cs="Arial"/>
                <w:b/>
                <w:bCs/>
                <w:lang w:eastAsia="es-MX"/>
              </w:rPr>
              <w:t>Concepto</w:t>
            </w:r>
          </w:p>
        </w:tc>
        <w:tc>
          <w:tcPr>
            <w:tcW w:w="2409"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549130C2" w14:textId="77777777" w:rsidR="00267429" w:rsidRPr="00CA34F5" w:rsidRDefault="00267429" w:rsidP="003E3C32">
            <w:pPr>
              <w:spacing w:after="0" w:line="240" w:lineRule="auto"/>
              <w:rPr>
                <w:rFonts w:ascii="Arial" w:eastAsia="Times New Roman" w:hAnsi="Arial" w:cs="Arial"/>
                <w:b/>
                <w:bCs/>
                <w:lang w:eastAsia="es-MX"/>
              </w:rPr>
            </w:pPr>
            <w:r w:rsidRPr="00CA34F5">
              <w:rPr>
                <w:rFonts w:ascii="Arial" w:eastAsia="Times New Roman" w:hAnsi="Arial" w:cs="Arial"/>
                <w:b/>
                <w:bCs/>
                <w:lang w:eastAsia="es-MX"/>
              </w:rPr>
              <w:t xml:space="preserve">31 diciembre </w:t>
            </w:r>
          </w:p>
        </w:tc>
        <w:tc>
          <w:tcPr>
            <w:tcW w:w="170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610869E0" w14:textId="77777777" w:rsidR="00267429" w:rsidRPr="00CA34F5" w:rsidRDefault="00267429" w:rsidP="003E3C32">
            <w:pPr>
              <w:spacing w:after="0" w:line="240" w:lineRule="auto"/>
              <w:rPr>
                <w:rFonts w:ascii="Arial" w:eastAsia="Times New Roman" w:hAnsi="Arial" w:cs="Arial"/>
                <w:b/>
                <w:bCs/>
                <w:lang w:eastAsia="es-MX"/>
              </w:rPr>
            </w:pPr>
            <w:r w:rsidRPr="00CA34F5">
              <w:rPr>
                <w:rFonts w:ascii="Arial" w:eastAsia="Times New Roman" w:hAnsi="Arial" w:cs="Arial"/>
                <w:b/>
                <w:bCs/>
                <w:lang w:eastAsia="es-MX"/>
              </w:rPr>
              <w:t xml:space="preserve">31 diciembre </w:t>
            </w:r>
          </w:p>
        </w:tc>
      </w:tr>
      <w:tr w:rsidR="00267429" w:rsidRPr="00CA34F5" w14:paraId="5640360F" w14:textId="77777777" w:rsidTr="00267429">
        <w:trPr>
          <w:trHeight w:val="255"/>
          <w:jc w:val="center"/>
        </w:trPr>
        <w:tc>
          <w:tcPr>
            <w:tcW w:w="411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EC4B3AF" w14:textId="77777777" w:rsidR="00267429" w:rsidRPr="00CA34F5" w:rsidRDefault="00267429" w:rsidP="003E3C32">
            <w:pPr>
              <w:spacing w:after="0" w:line="240" w:lineRule="auto"/>
              <w:jc w:val="both"/>
              <w:rPr>
                <w:rFonts w:ascii="Arial" w:eastAsia="Times New Roman" w:hAnsi="Arial" w:cs="Arial"/>
                <w:b/>
                <w:bCs/>
                <w:lang w:eastAsia="es-MX"/>
              </w:rPr>
            </w:pPr>
          </w:p>
        </w:tc>
        <w:tc>
          <w:tcPr>
            <w:tcW w:w="2409"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7B2E05E1" w14:textId="77777777" w:rsidR="00267429" w:rsidRPr="00CA34F5" w:rsidRDefault="00267429" w:rsidP="003E3C32">
            <w:pPr>
              <w:spacing w:after="0" w:line="240" w:lineRule="auto"/>
              <w:rPr>
                <w:rFonts w:ascii="Arial" w:eastAsia="Times New Roman" w:hAnsi="Arial" w:cs="Arial"/>
                <w:b/>
                <w:bCs/>
                <w:lang w:eastAsia="es-MX"/>
              </w:rPr>
            </w:pPr>
            <w:r w:rsidRPr="00CA34F5">
              <w:rPr>
                <w:rFonts w:ascii="Arial" w:eastAsia="Times New Roman" w:hAnsi="Arial" w:cs="Arial"/>
                <w:b/>
                <w:bCs/>
                <w:lang w:eastAsia="es-MX"/>
              </w:rPr>
              <w:t>2021</w:t>
            </w:r>
          </w:p>
        </w:tc>
        <w:tc>
          <w:tcPr>
            <w:tcW w:w="170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2FA4899E" w14:textId="77777777" w:rsidR="00267429" w:rsidRPr="00CA34F5" w:rsidRDefault="00267429" w:rsidP="003E3C32">
            <w:pPr>
              <w:spacing w:after="0" w:line="240" w:lineRule="auto"/>
              <w:rPr>
                <w:rFonts w:ascii="Arial" w:eastAsia="Times New Roman" w:hAnsi="Arial" w:cs="Arial"/>
                <w:b/>
                <w:bCs/>
                <w:lang w:eastAsia="es-MX"/>
              </w:rPr>
            </w:pPr>
            <w:r w:rsidRPr="00CA34F5">
              <w:rPr>
                <w:rFonts w:ascii="Arial" w:eastAsia="Times New Roman" w:hAnsi="Arial" w:cs="Arial"/>
                <w:b/>
                <w:bCs/>
                <w:lang w:eastAsia="es-MX"/>
              </w:rPr>
              <w:t>2020</w:t>
            </w:r>
          </w:p>
        </w:tc>
      </w:tr>
      <w:tr w:rsidR="00267429" w:rsidRPr="00CA34F5" w14:paraId="755E630F" w14:textId="77777777" w:rsidTr="00267429">
        <w:trPr>
          <w:trHeight w:val="255"/>
          <w:jc w:val="center"/>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6B81C" w14:textId="77777777" w:rsidR="00267429" w:rsidRPr="00CA34F5" w:rsidRDefault="00267429" w:rsidP="003E3C3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Efectivo en Bancos –Tesorería</w:t>
            </w:r>
          </w:p>
        </w:tc>
        <w:tc>
          <w:tcPr>
            <w:tcW w:w="2409" w:type="dxa"/>
            <w:tcBorders>
              <w:top w:val="single" w:sz="4" w:space="0" w:color="auto"/>
              <w:left w:val="nil"/>
              <w:bottom w:val="single" w:sz="4" w:space="0" w:color="auto"/>
              <w:right w:val="single" w:sz="4" w:space="0" w:color="auto"/>
            </w:tcBorders>
            <w:shd w:val="clear" w:color="auto" w:fill="auto"/>
            <w:vAlign w:val="center"/>
          </w:tcPr>
          <w:p w14:paraId="17B20223" w14:textId="77777777" w:rsidR="00267429" w:rsidRPr="00CA34F5" w:rsidRDefault="00267429" w:rsidP="00267429">
            <w:pPr>
              <w:spacing w:after="0" w:line="240" w:lineRule="auto"/>
              <w:jc w:val="right"/>
              <w:rPr>
                <w:rFonts w:ascii="Arial" w:eastAsia="Times New Roman" w:hAnsi="Arial" w:cs="Arial"/>
                <w:color w:val="000000"/>
                <w:lang w:eastAsia="es-MX"/>
              </w:rPr>
            </w:pPr>
            <w:r w:rsidRPr="00CA34F5">
              <w:rPr>
                <w:rFonts w:ascii="Arial" w:hAnsi="Arial" w:cs="Arial"/>
                <w:color w:val="000000"/>
              </w:rPr>
              <w:t xml:space="preserve">            902,326,931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308A4DA" w14:textId="77777777" w:rsidR="00267429" w:rsidRPr="00CA34F5" w:rsidRDefault="00267429" w:rsidP="00267429">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1,881,266,631</w:t>
            </w:r>
          </w:p>
        </w:tc>
      </w:tr>
      <w:tr w:rsidR="00267429" w:rsidRPr="00CA34F5" w14:paraId="22E1DA72" w14:textId="77777777" w:rsidTr="00267429">
        <w:trPr>
          <w:trHeight w:val="255"/>
          <w:jc w:val="center"/>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B2CB0" w14:textId="77777777" w:rsidR="00267429" w:rsidRPr="00CA34F5" w:rsidRDefault="00267429" w:rsidP="003E3C3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Efectivo en Bancos- Dependencias</w:t>
            </w:r>
          </w:p>
        </w:tc>
        <w:tc>
          <w:tcPr>
            <w:tcW w:w="2409" w:type="dxa"/>
            <w:tcBorders>
              <w:top w:val="single" w:sz="4" w:space="0" w:color="auto"/>
              <w:left w:val="nil"/>
              <w:bottom w:val="single" w:sz="4" w:space="0" w:color="auto"/>
              <w:right w:val="single" w:sz="4" w:space="0" w:color="auto"/>
            </w:tcBorders>
            <w:shd w:val="clear" w:color="auto" w:fill="auto"/>
            <w:vAlign w:val="center"/>
          </w:tcPr>
          <w:p w14:paraId="64BE27B0" w14:textId="77777777" w:rsidR="00267429" w:rsidRPr="00CA34F5" w:rsidRDefault="00267429" w:rsidP="00267429">
            <w:pPr>
              <w:spacing w:after="0" w:line="240" w:lineRule="auto"/>
              <w:jc w:val="right"/>
              <w:rPr>
                <w:rFonts w:ascii="Arial" w:eastAsia="Times New Roman" w:hAnsi="Arial" w:cs="Arial"/>
                <w:color w:val="000000"/>
                <w:lang w:eastAsia="es-MX"/>
              </w:rPr>
            </w:pPr>
            <w:r w:rsidRPr="00CA34F5">
              <w:rPr>
                <w:rFonts w:ascii="Arial" w:hAnsi="Arial" w:cs="Arial"/>
                <w:color w:val="000000"/>
              </w:rPr>
              <w:t xml:space="preserve">            608,369,518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E057D47" w14:textId="77777777" w:rsidR="00267429" w:rsidRPr="00CA34F5" w:rsidRDefault="00267429" w:rsidP="00267429">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2,903,987,755</w:t>
            </w:r>
          </w:p>
        </w:tc>
      </w:tr>
      <w:tr w:rsidR="00267429" w:rsidRPr="00CA34F5" w14:paraId="6864559E" w14:textId="77777777" w:rsidTr="00267429">
        <w:trPr>
          <w:trHeight w:val="255"/>
          <w:jc w:val="center"/>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5FDA9" w14:textId="77777777" w:rsidR="00267429" w:rsidRPr="00CA34F5" w:rsidRDefault="00267429" w:rsidP="003E3C3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Inversiones temporales (hasta 3 meses)</w:t>
            </w:r>
          </w:p>
        </w:tc>
        <w:tc>
          <w:tcPr>
            <w:tcW w:w="2409" w:type="dxa"/>
            <w:tcBorders>
              <w:top w:val="single" w:sz="4" w:space="0" w:color="auto"/>
              <w:left w:val="nil"/>
              <w:bottom w:val="single" w:sz="4" w:space="0" w:color="auto"/>
              <w:right w:val="single" w:sz="4" w:space="0" w:color="auto"/>
            </w:tcBorders>
            <w:shd w:val="clear" w:color="auto" w:fill="auto"/>
            <w:vAlign w:val="center"/>
          </w:tcPr>
          <w:p w14:paraId="328A2BD8" w14:textId="29ED5BBF" w:rsidR="00267429" w:rsidRPr="00267429" w:rsidRDefault="00267429" w:rsidP="00267429">
            <w:pPr>
              <w:spacing w:after="0" w:line="240" w:lineRule="auto"/>
              <w:jc w:val="right"/>
              <w:rPr>
                <w:rFonts w:ascii="Arial" w:hAnsi="Arial" w:cs="Arial"/>
                <w:color w:val="000000"/>
              </w:rPr>
            </w:pPr>
            <w:r w:rsidRPr="00CA34F5">
              <w:rPr>
                <w:rFonts w:ascii="Arial" w:hAnsi="Arial" w:cs="Arial"/>
                <w:color w:val="000000"/>
              </w:rPr>
              <w:t xml:space="preserve">     1,706,000,000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C0D98D" w14:textId="77777777" w:rsidR="00267429" w:rsidRPr="00CA34F5" w:rsidRDefault="00267429" w:rsidP="00267429">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1,826,456,742</w:t>
            </w:r>
          </w:p>
        </w:tc>
      </w:tr>
      <w:tr w:rsidR="00267429" w:rsidRPr="00CA34F5" w14:paraId="56B726BB" w14:textId="77777777" w:rsidTr="00267429">
        <w:trPr>
          <w:trHeight w:val="255"/>
          <w:jc w:val="center"/>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58E4C" w14:textId="77777777" w:rsidR="00267429" w:rsidRPr="00CA34F5" w:rsidRDefault="00267429" w:rsidP="003E3C32">
            <w:pPr>
              <w:spacing w:after="0" w:line="240" w:lineRule="auto"/>
              <w:jc w:val="left"/>
              <w:rPr>
                <w:rFonts w:ascii="Arial" w:eastAsia="Times New Roman" w:hAnsi="Arial" w:cs="Arial"/>
                <w:bCs/>
                <w:color w:val="000000"/>
                <w:lang w:eastAsia="es-MX"/>
              </w:rPr>
            </w:pPr>
            <w:r w:rsidRPr="00CA34F5">
              <w:rPr>
                <w:rFonts w:ascii="Arial" w:eastAsia="Times New Roman" w:hAnsi="Arial" w:cs="Arial"/>
                <w:bCs/>
                <w:color w:val="000000"/>
                <w:lang w:eastAsia="es-MX"/>
              </w:rPr>
              <w:t>Fondos con afectación específica</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5DA0FC22" w14:textId="77777777" w:rsidR="00267429" w:rsidRPr="00CA34F5" w:rsidRDefault="00267429" w:rsidP="00267429">
            <w:pPr>
              <w:spacing w:after="0" w:line="240" w:lineRule="auto"/>
              <w:jc w:val="right"/>
              <w:rPr>
                <w:rFonts w:ascii="Arial" w:eastAsia="Times New Roman" w:hAnsi="Arial" w:cs="Arial"/>
                <w:bCs/>
                <w:color w:val="000000"/>
                <w:lang w:eastAsia="es-MX"/>
              </w:rPr>
            </w:pPr>
            <w:r w:rsidRPr="00CA34F5">
              <w:rPr>
                <w:rFonts w:ascii="Arial" w:eastAsia="Times New Roman" w:hAnsi="Arial" w:cs="Arial"/>
                <w:bCs/>
                <w:color w:val="000000"/>
                <w:lang w:eastAsia="es-MX"/>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3F58E61" w14:textId="77777777" w:rsidR="00267429" w:rsidRPr="00CA34F5" w:rsidRDefault="00267429" w:rsidP="00267429">
            <w:pPr>
              <w:spacing w:after="0" w:line="240" w:lineRule="auto"/>
              <w:jc w:val="right"/>
              <w:rPr>
                <w:rFonts w:ascii="Arial" w:eastAsia="Times New Roman" w:hAnsi="Arial" w:cs="Arial"/>
                <w:bCs/>
                <w:color w:val="000000"/>
                <w:lang w:eastAsia="es-MX"/>
              </w:rPr>
            </w:pPr>
            <w:r w:rsidRPr="00CA34F5">
              <w:rPr>
                <w:rFonts w:ascii="Arial" w:eastAsia="Times New Roman" w:hAnsi="Arial" w:cs="Arial"/>
                <w:bCs/>
                <w:color w:val="000000"/>
                <w:lang w:eastAsia="es-MX"/>
              </w:rPr>
              <w:t>0</w:t>
            </w:r>
          </w:p>
        </w:tc>
      </w:tr>
      <w:tr w:rsidR="00267429" w:rsidRPr="00CA34F5" w14:paraId="7D979C98" w14:textId="77777777" w:rsidTr="00267429">
        <w:trPr>
          <w:trHeight w:val="255"/>
          <w:jc w:val="center"/>
        </w:trPr>
        <w:tc>
          <w:tcPr>
            <w:tcW w:w="4112" w:type="dxa"/>
            <w:tcBorders>
              <w:top w:val="single" w:sz="4" w:space="0" w:color="auto"/>
              <w:left w:val="single" w:sz="4" w:space="0" w:color="auto"/>
              <w:bottom w:val="single" w:sz="4" w:space="0" w:color="auto"/>
              <w:right w:val="single" w:sz="4" w:space="0" w:color="auto"/>
            </w:tcBorders>
            <w:shd w:val="clear" w:color="auto" w:fill="auto"/>
            <w:noWrap/>
          </w:tcPr>
          <w:p w14:paraId="4B55A66E" w14:textId="77777777" w:rsidR="00267429" w:rsidRPr="00CA34F5" w:rsidRDefault="00267429" w:rsidP="003E3C32">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Depósitos de fondos de terceros y otros</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EA347" w14:textId="77777777" w:rsidR="00267429" w:rsidRPr="00CA34F5" w:rsidRDefault="00267429" w:rsidP="00267429">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AA20E" w14:textId="77777777" w:rsidR="00267429" w:rsidRPr="00CA34F5" w:rsidRDefault="00267429" w:rsidP="00267429">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0</w:t>
            </w:r>
          </w:p>
        </w:tc>
      </w:tr>
      <w:tr w:rsidR="00267429" w:rsidRPr="00CA34F5" w14:paraId="43DDC013" w14:textId="77777777" w:rsidTr="00267429">
        <w:trPr>
          <w:trHeight w:val="255"/>
          <w:jc w:val="center"/>
        </w:trPr>
        <w:tc>
          <w:tcPr>
            <w:tcW w:w="4112" w:type="dxa"/>
            <w:tcBorders>
              <w:top w:val="single" w:sz="4" w:space="0" w:color="auto"/>
              <w:left w:val="single" w:sz="4" w:space="0" w:color="auto"/>
              <w:bottom w:val="single" w:sz="8" w:space="0" w:color="auto"/>
              <w:right w:val="single" w:sz="4" w:space="0" w:color="auto"/>
            </w:tcBorders>
            <w:shd w:val="clear" w:color="auto" w:fill="auto"/>
            <w:noWrap/>
          </w:tcPr>
          <w:p w14:paraId="3C5F652F" w14:textId="77777777" w:rsidR="00267429" w:rsidRPr="00CA34F5" w:rsidRDefault="00267429" w:rsidP="003B1F34">
            <w:pPr>
              <w:spacing w:after="0" w:line="240" w:lineRule="auto"/>
              <w:jc w:val="right"/>
              <w:rPr>
                <w:rFonts w:ascii="Arial" w:eastAsia="Times New Roman" w:hAnsi="Arial" w:cs="Arial"/>
                <w:b/>
                <w:color w:val="000000"/>
                <w:lang w:eastAsia="es-MX"/>
              </w:rPr>
            </w:pPr>
            <w:r w:rsidRPr="00CA34F5">
              <w:rPr>
                <w:rFonts w:ascii="Arial" w:eastAsia="Times New Roman" w:hAnsi="Arial" w:cs="Arial"/>
                <w:b/>
                <w:color w:val="000000"/>
                <w:lang w:eastAsia="es-MX"/>
              </w:rPr>
              <w:t>Total de Efectivo y Equivalentes</w:t>
            </w:r>
          </w:p>
        </w:tc>
        <w:tc>
          <w:tcPr>
            <w:tcW w:w="2409"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2B9A08E" w14:textId="77777777" w:rsidR="00267429" w:rsidRPr="00CA34F5" w:rsidRDefault="00267429" w:rsidP="00267429">
            <w:pPr>
              <w:spacing w:after="0" w:line="240" w:lineRule="auto"/>
              <w:jc w:val="right"/>
              <w:rPr>
                <w:rFonts w:ascii="Arial" w:eastAsia="Times New Roman" w:hAnsi="Arial" w:cs="Arial"/>
                <w:b/>
                <w:color w:val="000000"/>
                <w:lang w:eastAsia="es-MX"/>
              </w:rPr>
            </w:pPr>
            <w:r w:rsidRPr="00CA34F5">
              <w:rPr>
                <w:rFonts w:ascii="Arial" w:hAnsi="Arial" w:cs="Arial"/>
                <w:b/>
              </w:rPr>
              <w:t xml:space="preserve">  3,216,696,450</w:t>
            </w:r>
          </w:p>
        </w:tc>
        <w:tc>
          <w:tcPr>
            <w:tcW w:w="1701" w:type="dxa"/>
            <w:tcBorders>
              <w:top w:val="single" w:sz="4" w:space="0" w:color="auto"/>
              <w:left w:val="single" w:sz="4" w:space="0" w:color="auto"/>
              <w:bottom w:val="single" w:sz="8" w:space="0" w:color="auto"/>
              <w:right w:val="single" w:sz="4" w:space="0" w:color="auto"/>
            </w:tcBorders>
            <w:shd w:val="clear" w:color="auto" w:fill="auto"/>
            <w:noWrap/>
            <w:vAlign w:val="center"/>
          </w:tcPr>
          <w:p w14:paraId="16513151" w14:textId="77777777" w:rsidR="00267429" w:rsidRPr="00CA34F5" w:rsidRDefault="00267429" w:rsidP="00267429">
            <w:pPr>
              <w:spacing w:after="0" w:line="240" w:lineRule="auto"/>
              <w:jc w:val="right"/>
              <w:rPr>
                <w:rFonts w:ascii="Arial" w:eastAsia="Times New Roman" w:hAnsi="Arial" w:cs="Arial"/>
                <w:b/>
                <w:color w:val="000000"/>
                <w:lang w:eastAsia="es-MX"/>
              </w:rPr>
            </w:pPr>
            <w:r w:rsidRPr="00CA34F5">
              <w:rPr>
                <w:rFonts w:ascii="Arial" w:eastAsia="Times New Roman" w:hAnsi="Arial" w:cs="Arial"/>
                <w:b/>
                <w:color w:val="000000"/>
                <w:lang w:eastAsia="es-MX"/>
              </w:rPr>
              <w:t>6,611,711,128</w:t>
            </w:r>
          </w:p>
        </w:tc>
      </w:tr>
    </w:tbl>
    <w:p w14:paraId="0D69C8DC" w14:textId="77777777" w:rsidR="00C9355D" w:rsidRPr="00CA34F5" w:rsidRDefault="00C9355D" w:rsidP="000A4C31">
      <w:pPr>
        <w:spacing w:line="240" w:lineRule="auto"/>
        <w:jc w:val="both"/>
        <w:rPr>
          <w:rFonts w:ascii="Arial" w:hAnsi="Arial" w:cs="Arial"/>
        </w:rPr>
      </w:pPr>
    </w:p>
    <w:p w14:paraId="5BEBF5B0" w14:textId="77777777" w:rsidR="00EC412C" w:rsidRDefault="003B1F34" w:rsidP="003B1F34">
      <w:pPr>
        <w:pStyle w:val="Prrafodelista"/>
        <w:numPr>
          <w:ilvl w:val="0"/>
          <w:numId w:val="19"/>
        </w:numPr>
        <w:spacing w:after="0" w:line="240" w:lineRule="auto"/>
        <w:jc w:val="both"/>
        <w:rPr>
          <w:rFonts w:ascii="Arial" w:hAnsi="Arial" w:cs="Arial"/>
        </w:rPr>
      </w:pPr>
      <w:r w:rsidRPr="00CA34F5">
        <w:rPr>
          <w:rFonts w:ascii="Arial" w:hAnsi="Arial" w:cs="Arial"/>
        </w:rPr>
        <w:t xml:space="preserve">La conciliación de los Flujos de Efectivo Netos de las Actividades de Operación y la cuenta de Ahorro/Desahorro antes de Rubros Extraordinarios se ilustra en el siguiente cuadro, formulado por el método indirecto, en el cual se parte del resultado </w:t>
      </w:r>
    </w:p>
    <w:p w14:paraId="118AEDF4" w14:textId="063D4C04" w:rsidR="003B1F34" w:rsidRPr="00EC412C" w:rsidRDefault="003B1F34" w:rsidP="00EC412C">
      <w:pPr>
        <w:pStyle w:val="Prrafodelista"/>
        <w:spacing w:after="0" w:line="240" w:lineRule="auto"/>
        <w:jc w:val="both"/>
        <w:rPr>
          <w:rFonts w:ascii="Arial" w:hAnsi="Arial" w:cs="Arial"/>
        </w:rPr>
      </w:pPr>
      <w:r w:rsidRPr="00EC412C">
        <w:rPr>
          <w:rFonts w:ascii="Arial" w:hAnsi="Arial" w:cs="Arial"/>
        </w:rPr>
        <w:t>del ejercicio (ahorro o desahorro), cifra que se corrige posteriormente por los efectos de las transacciones no monetarias, por todo tipo de partidas de pago diferido y acumulaciones (o devengos) de cobros y pagos pasados o futuros, así como de las partidas de ingresos o gastos asociadas con flujos de efectivo de inversión o financiamiento, de acuerdo a lo establecido en las Normas Internacionales de Contabilidad del Sector Público (NICSP-2).</w:t>
      </w:r>
    </w:p>
    <w:p w14:paraId="2E4B57F8" w14:textId="77777777" w:rsidR="00C9355D" w:rsidRPr="00CA34F5" w:rsidRDefault="00C9355D" w:rsidP="000A4C31">
      <w:pPr>
        <w:spacing w:line="240" w:lineRule="auto"/>
        <w:jc w:val="both"/>
        <w:rPr>
          <w:rFonts w:ascii="Arial" w:hAnsi="Arial" w:cs="Arial"/>
        </w:rPr>
      </w:pPr>
    </w:p>
    <w:tbl>
      <w:tblPr>
        <w:tblW w:w="9498" w:type="dxa"/>
        <w:jc w:val="center"/>
        <w:tblLayout w:type="fixed"/>
        <w:tblLook w:val="0000" w:firstRow="0" w:lastRow="0" w:firstColumn="0" w:lastColumn="0" w:noHBand="0" w:noVBand="0"/>
      </w:tblPr>
      <w:tblGrid>
        <w:gridCol w:w="5904"/>
        <w:gridCol w:w="1751"/>
        <w:gridCol w:w="1843"/>
      </w:tblGrid>
      <w:tr w:rsidR="000C0F5C" w:rsidRPr="00CA34F5" w14:paraId="3F543093" w14:textId="77777777" w:rsidTr="00267429">
        <w:trPr>
          <w:trHeight w:val="20"/>
          <w:jc w:val="center"/>
        </w:trPr>
        <w:tc>
          <w:tcPr>
            <w:tcW w:w="5904"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010C2D35" w14:textId="77777777" w:rsidR="000C0F5C" w:rsidRPr="00CA34F5" w:rsidRDefault="000C0F5C" w:rsidP="003E3C32">
            <w:pPr>
              <w:pStyle w:val="Texto"/>
              <w:spacing w:after="0" w:line="240" w:lineRule="auto"/>
              <w:ind w:firstLine="0"/>
              <w:jc w:val="center"/>
              <w:rPr>
                <w:b/>
                <w:sz w:val="22"/>
                <w:szCs w:val="22"/>
                <w:lang w:val="es-MX"/>
              </w:rPr>
            </w:pPr>
            <w:r w:rsidRPr="00CA34F5">
              <w:rPr>
                <w:b/>
                <w:sz w:val="22"/>
                <w:szCs w:val="22"/>
                <w:lang w:val="es-MX"/>
              </w:rPr>
              <w:lastRenderedPageBreak/>
              <w:t>Concepto</w:t>
            </w:r>
          </w:p>
        </w:tc>
        <w:tc>
          <w:tcPr>
            <w:tcW w:w="175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B2F0A78" w14:textId="77777777" w:rsidR="000C0F5C" w:rsidRPr="00CA34F5" w:rsidRDefault="000C0F5C" w:rsidP="003E3C32">
            <w:pPr>
              <w:pStyle w:val="Texto"/>
              <w:spacing w:after="0" w:line="240" w:lineRule="auto"/>
              <w:ind w:firstLine="0"/>
              <w:jc w:val="center"/>
              <w:rPr>
                <w:b/>
                <w:sz w:val="22"/>
                <w:szCs w:val="22"/>
                <w:lang w:val="es-MX"/>
              </w:rPr>
            </w:pPr>
            <w:r w:rsidRPr="00CA34F5">
              <w:rPr>
                <w:b/>
                <w:sz w:val="22"/>
                <w:szCs w:val="22"/>
                <w:lang w:val="es-MX"/>
              </w:rPr>
              <w:t>31 diciembre 2021</w:t>
            </w:r>
          </w:p>
        </w:tc>
        <w:tc>
          <w:tcPr>
            <w:tcW w:w="1843"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66B16A9F" w14:textId="77777777" w:rsidR="000C0F5C" w:rsidRPr="00CA34F5" w:rsidRDefault="000C0F5C" w:rsidP="003E3C32">
            <w:pPr>
              <w:pStyle w:val="Texto"/>
              <w:spacing w:after="0" w:line="240" w:lineRule="auto"/>
              <w:ind w:firstLine="0"/>
              <w:jc w:val="center"/>
              <w:rPr>
                <w:b/>
                <w:sz w:val="22"/>
                <w:szCs w:val="22"/>
                <w:lang w:val="es-MX"/>
              </w:rPr>
            </w:pPr>
            <w:r w:rsidRPr="00CA34F5">
              <w:rPr>
                <w:b/>
                <w:sz w:val="22"/>
                <w:szCs w:val="22"/>
                <w:lang w:val="es-MX"/>
              </w:rPr>
              <w:t>31 diciembre 2020</w:t>
            </w:r>
          </w:p>
        </w:tc>
      </w:tr>
      <w:tr w:rsidR="000C0F5C" w:rsidRPr="00CA34F5" w14:paraId="74C8904A" w14:textId="77777777" w:rsidTr="00267429">
        <w:trPr>
          <w:trHeight w:val="20"/>
          <w:jc w:val="center"/>
        </w:trPr>
        <w:tc>
          <w:tcPr>
            <w:tcW w:w="5904" w:type="dxa"/>
            <w:tcBorders>
              <w:top w:val="single" w:sz="6" w:space="0" w:color="auto"/>
              <w:left w:val="single" w:sz="6" w:space="0" w:color="auto"/>
              <w:bottom w:val="single" w:sz="6" w:space="0" w:color="auto"/>
              <w:right w:val="single" w:sz="6" w:space="0" w:color="auto"/>
            </w:tcBorders>
          </w:tcPr>
          <w:p w14:paraId="1BD856F0" w14:textId="77777777" w:rsidR="000C0F5C" w:rsidRPr="00CA34F5" w:rsidRDefault="000C0F5C" w:rsidP="003E3C32">
            <w:pPr>
              <w:pStyle w:val="Texto"/>
              <w:spacing w:after="0" w:line="240" w:lineRule="auto"/>
              <w:ind w:firstLine="0"/>
              <w:rPr>
                <w:b/>
                <w:sz w:val="22"/>
                <w:szCs w:val="22"/>
                <w:lang w:val="es-MX"/>
              </w:rPr>
            </w:pPr>
            <w:r w:rsidRPr="00CA34F5">
              <w:rPr>
                <w:sz w:val="22"/>
                <w:szCs w:val="22"/>
              </w:rPr>
              <w:t>Resultados del Ejercicio Ahorro/Desahorro antes de Rubros Extraordinarios</w:t>
            </w:r>
          </w:p>
        </w:tc>
        <w:tc>
          <w:tcPr>
            <w:tcW w:w="1751" w:type="dxa"/>
            <w:tcBorders>
              <w:top w:val="single" w:sz="6" w:space="0" w:color="auto"/>
              <w:left w:val="single" w:sz="6" w:space="0" w:color="auto"/>
              <w:bottom w:val="single" w:sz="6" w:space="0" w:color="auto"/>
              <w:right w:val="single" w:sz="6" w:space="0" w:color="auto"/>
            </w:tcBorders>
            <w:vAlign w:val="center"/>
          </w:tcPr>
          <w:p w14:paraId="76D08C3E" w14:textId="14CF0BE1" w:rsidR="000C0F5C" w:rsidRPr="00CA34F5" w:rsidRDefault="000C0F5C" w:rsidP="00267429">
            <w:pPr>
              <w:jc w:val="right"/>
              <w:rPr>
                <w:rFonts w:ascii="Arial" w:hAnsi="Arial" w:cs="Arial"/>
                <w:b/>
                <w:bCs/>
                <w:color w:val="000000"/>
              </w:rPr>
            </w:pPr>
            <w:r w:rsidRPr="00CA34F5">
              <w:rPr>
                <w:rFonts w:ascii="Arial" w:hAnsi="Arial" w:cs="Arial"/>
                <w:color w:val="000000"/>
              </w:rPr>
              <w:t>1,683,214,381</w:t>
            </w:r>
          </w:p>
        </w:tc>
        <w:tc>
          <w:tcPr>
            <w:tcW w:w="1843" w:type="dxa"/>
            <w:tcBorders>
              <w:top w:val="single" w:sz="6" w:space="0" w:color="auto"/>
              <w:left w:val="single" w:sz="6" w:space="0" w:color="auto"/>
              <w:bottom w:val="single" w:sz="6" w:space="0" w:color="auto"/>
              <w:right w:val="single" w:sz="6" w:space="0" w:color="auto"/>
            </w:tcBorders>
            <w:vAlign w:val="center"/>
          </w:tcPr>
          <w:p w14:paraId="731E845B" w14:textId="66077830" w:rsidR="000C0F5C" w:rsidRPr="00CA34F5" w:rsidRDefault="000C0F5C" w:rsidP="00267429">
            <w:pPr>
              <w:jc w:val="right"/>
              <w:rPr>
                <w:b/>
              </w:rPr>
            </w:pPr>
            <w:r w:rsidRPr="00D00F54">
              <w:rPr>
                <w:rFonts w:ascii="Arial" w:hAnsi="Arial" w:cs="Arial"/>
                <w:color w:val="000000"/>
              </w:rPr>
              <w:t>241,511,337</w:t>
            </w:r>
          </w:p>
        </w:tc>
      </w:tr>
      <w:tr w:rsidR="000C0F5C" w:rsidRPr="00CA34F5" w14:paraId="0B448E61" w14:textId="77777777" w:rsidTr="00267429">
        <w:trPr>
          <w:trHeight w:val="20"/>
          <w:jc w:val="center"/>
        </w:trPr>
        <w:tc>
          <w:tcPr>
            <w:tcW w:w="5904" w:type="dxa"/>
            <w:tcBorders>
              <w:top w:val="single" w:sz="6" w:space="0" w:color="auto"/>
              <w:left w:val="single" w:sz="6" w:space="0" w:color="auto"/>
              <w:bottom w:val="single" w:sz="6" w:space="0" w:color="auto"/>
              <w:right w:val="single" w:sz="6" w:space="0" w:color="auto"/>
            </w:tcBorders>
          </w:tcPr>
          <w:p w14:paraId="4D546330" w14:textId="77777777" w:rsidR="000C0F5C" w:rsidRPr="00CA34F5" w:rsidRDefault="000C0F5C" w:rsidP="003E3C32">
            <w:pPr>
              <w:pStyle w:val="Texto"/>
              <w:spacing w:after="0" w:line="240" w:lineRule="auto"/>
              <w:ind w:firstLine="0"/>
              <w:rPr>
                <w:i/>
                <w:sz w:val="22"/>
                <w:szCs w:val="22"/>
                <w:lang w:val="es-MX"/>
              </w:rPr>
            </w:pPr>
            <w:r w:rsidRPr="00CA34F5">
              <w:rPr>
                <w:i/>
                <w:sz w:val="22"/>
                <w:szCs w:val="22"/>
                <w:lang w:val="es-MX"/>
              </w:rPr>
              <w:t>Movimientos de partidas (o rubros) que no afectan al efectivo.</w:t>
            </w:r>
          </w:p>
        </w:tc>
        <w:tc>
          <w:tcPr>
            <w:tcW w:w="1751" w:type="dxa"/>
            <w:tcBorders>
              <w:top w:val="single" w:sz="6" w:space="0" w:color="auto"/>
              <w:left w:val="single" w:sz="6" w:space="0" w:color="auto"/>
              <w:bottom w:val="single" w:sz="6" w:space="0" w:color="auto"/>
              <w:right w:val="single" w:sz="6" w:space="0" w:color="auto"/>
            </w:tcBorders>
            <w:vAlign w:val="center"/>
          </w:tcPr>
          <w:p w14:paraId="396E0F77" w14:textId="77777777" w:rsidR="000C0F5C" w:rsidRPr="00CA34F5" w:rsidRDefault="000C0F5C" w:rsidP="00BE3A41">
            <w:pPr>
              <w:pStyle w:val="Texto"/>
              <w:spacing w:after="0" w:line="240" w:lineRule="auto"/>
              <w:ind w:firstLine="0"/>
              <w:jc w:val="right"/>
              <w:rPr>
                <w:sz w:val="22"/>
                <w:szCs w:val="22"/>
                <w:lang w:val="es-MX"/>
              </w:rPr>
            </w:pPr>
            <w:r w:rsidRPr="00CA34F5">
              <w:rPr>
                <w:sz w:val="22"/>
                <w:szCs w:val="22"/>
                <w:lang w:val="es-MX"/>
              </w:rPr>
              <w:t>0</w:t>
            </w:r>
          </w:p>
        </w:tc>
        <w:tc>
          <w:tcPr>
            <w:tcW w:w="1843" w:type="dxa"/>
            <w:tcBorders>
              <w:top w:val="single" w:sz="6" w:space="0" w:color="auto"/>
              <w:left w:val="single" w:sz="6" w:space="0" w:color="auto"/>
              <w:bottom w:val="single" w:sz="6" w:space="0" w:color="auto"/>
              <w:right w:val="single" w:sz="6" w:space="0" w:color="auto"/>
            </w:tcBorders>
            <w:vAlign w:val="center"/>
          </w:tcPr>
          <w:p w14:paraId="4E5418B4" w14:textId="77777777" w:rsidR="000C0F5C" w:rsidRPr="00BE3A41" w:rsidRDefault="000C0F5C" w:rsidP="00BE3A41">
            <w:pPr>
              <w:pStyle w:val="Texto"/>
              <w:spacing w:after="0" w:line="240" w:lineRule="auto"/>
              <w:ind w:firstLine="0"/>
              <w:jc w:val="right"/>
              <w:rPr>
                <w:sz w:val="22"/>
                <w:szCs w:val="22"/>
                <w:lang w:val="es-MX"/>
              </w:rPr>
            </w:pPr>
            <w:r w:rsidRPr="00BE3A41">
              <w:rPr>
                <w:sz w:val="22"/>
                <w:szCs w:val="22"/>
                <w:lang w:val="es-MX"/>
              </w:rPr>
              <w:t>0</w:t>
            </w:r>
          </w:p>
        </w:tc>
      </w:tr>
      <w:tr w:rsidR="000C0F5C" w:rsidRPr="00CA34F5" w14:paraId="0A920C5E" w14:textId="77777777" w:rsidTr="00267429">
        <w:trPr>
          <w:trHeight w:val="303"/>
          <w:jc w:val="center"/>
        </w:trPr>
        <w:tc>
          <w:tcPr>
            <w:tcW w:w="5904" w:type="dxa"/>
            <w:tcBorders>
              <w:top w:val="single" w:sz="6" w:space="0" w:color="auto"/>
              <w:left w:val="single" w:sz="6" w:space="0" w:color="auto"/>
              <w:bottom w:val="single" w:sz="6" w:space="0" w:color="auto"/>
              <w:right w:val="single" w:sz="6" w:space="0" w:color="auto"/>
            </w:tcBorders>
          </w:tcPr>
          <w:p w14:paraId="6016E2AC" w14:textId="77777777" w:rsidR="000C0F5C" w:rsidRPr="00CA34F5" w:rsidRDefault="000C0F5C" w:rsidP="003E3C32">
            <w:pPr>
              <w:pStyle w:val="Texto"/>
              <w:spacing w:after="0" w:line="240" w:lineRule="auto"/>
              <w:ind w:firstLine="0"/>
              <w:rPr>
                <w:sz w:val="22"/>
                <w:szCs w:val="22"/>
                <w:lang w:val="es-MX"/>
              </w:rPr>
            </w:pPr>
            <w:r w:rsidRPr="00CA34F5">
              <w:rPr>
                <w:sz w:val="22"/>
                <w:szCs w:val="22"/>
                <w:lang w:val="es-MX"/>
              </w:rPr>
              <w:t>Depreciación</w:t>
            </w:r>
          </w:p>
        </w:tc>
        <w:tc>
          <w:tcPr>
            <w:tcW w:w="1751" w:type="dxa"/>
            <w:tcBorders>
              <w:top w:val="single" w:sz="6" w:space="0" w:color="auto"/>
              <w:left w:val="single" w:sz="6" w:space="0" w:color="auto"/>
              <w:bottom w:val="single" w:sz="6" w:space="0" w:color="auto"/>
              <w:right w:val="single" w:sz="6" w:space="0" w:color="auto"/>
            </w:tcBorders>
            <w:vAlign w:val="center"/>
          </w:tcPr>
          <w:p w14:paraId="6902CC9B" w14:textId="0120A162" w:rsidR="000C0F5C" w:rsidRPr="00D00F54" w:rsidRDefault="000C0F5C" w:rsidP="00BE3A41">
            <w:pPr>
              <w:pStyle w:val="Texto"/>
              <w:spacing w:line="240" w:lineRule="auto"/>
              <w:ind w:firstLine="0"/>
              <w:jc w:val="right"/>
              <w:rPr>
                <w:bCs/>
                <w:sz w:val="22"/>
                <w:szCs w:val="22"/>
              </w:rPr>
            </w:pPr>
            <w:r w:rsidRPr="00D00F54">
              <w:rPr>
                <w:bCs/>
                <w:color w:val="000000"/>
                <w:sz w:val="22"/>
                <w:szCs w:val="22"/>
                <w:lang w:eastAsia="es-MX"/>
              </w:rPr>
              <w:t>-259,177,425</w:t>
            </w:r>
          </w:p>
        </w:tc>
        <w:tc>
          <w:tcPr>
            <w:tcW w:w="1843" w:type="dxa"/>
            <w:tcBorders>
              <w:top w:val="single" w:sz="6" w:space="0" w:color="auto"/>
              <w:left w:val="single" w:sz="6" w:space="0" w:color="auto"/>
              <w:bottom w:val="single" w:sz="6" w:space="0" w:color="auto"/>
              <w:right w:val="single" w:sz="6" w:space="0" w:color="auto"/>
            </w:tcBorders>
            <w:vAlign w:val="center"/>
          </w:tcPr>
          <w:p w14:paraId="2B703445" w14:textId="1C5B7A83" w:rsidR="000C0F5C" w:rsidRPr="00D00F54" w:rsidRDefault="000C0F5C" w:rsidP="00BE3A41">
            <w:pPr>
              <w:pStyle w:val="Texto"/>
              <w:spacing w:line="240" w:lineRule="auto"/>
              <w:ind w:firstLine="0"/>
              <w:jc w:val="right"/>
              <w:rPr>
                <w:sz w:val="22"/>
                <w:szCs w:val="22"/>
              </w:rPr>
            </w:pPr>
            <w:r w:rsidRPr="00D00F54">
              <w:rPr>
                <w:sz w:val="22"/>
                <w:szCs w:val="22"/>
              </w:rPr>
              <w:t>-217,378,091</w:t>
            </w:r>
          </w:p>
        </w:tc>
      </w:tr>
      <w:tr w:rsidR="000C0F5C" w:rsidRPr="00CA34F5" w14:paraId="6560D00A" w14:textId="77777777" w:rsidTr="00267429">
        <w:trPr>
          <w:trHeight w:val="20"/>
          <w:jc w:val="center"/>
        </w:trPr>
        <w:tc>
          <w:tcPr>
            <w:tcW w:w="5904" w:type="dxa"/>
            <w:tcBorders>
              <w:top w:val="single" w:sz="6" w:space="0" w:color="auto"/>
              <w:left w:val="single" w:sz="6" w:space="0" w:color="auto"/>
              <w:bottom w:val="single" w:sz="6" w:space="0" w:color="auto"/>
              <w:right w:val="single" w:sz="6" w:space="0" w:color="auto"/>
            </w:tcBorders>
          </w:tcPr>
          <w:p w14:paraId="1FF128B3" w14:textId="77777777" w:rsidR="000C0F5C" w:rsidRPr="00CA34F5" w:rsidRDefault="000C0F5C" w:rsidP="003E3C32">
            <w:pPr>
              <w:pStyle w:val="Texto"/>
              <w:spacing w:after="0" w:line="240" w:lineRule="auto"/>
              <w:ind w:firstLine="0"/>
              <w:rPr>
                <w:sz w:val="22"/>
                <w:szCs w:val="22"/>
                <w:lang w:val="es-MX"/>
              </w:rPr>
            </w:pPr>
            <w:r w:rsidRPr="00CA34F5">
              <w:rPr>
                <w:sz w:val="22"/>
                <w:szCs w:val="22"/>
                <w:lang w:val="es-MX"/>
              </w:rPr>
              <w:t>Amortización</w:t>
            </w:r>
          </w:p>
        </w:tc>
        <w:tc>
          <w:tcPr>
            <w:tcW w:w="1751" w:type="dxa"/>
            <w:tcBorders>
              <w:top w:val="single" w:sz="6" w:space="0" w:color="auto"/>
              <w:left w:val="single" w:sz="6" w:space="0" w:color="auto"/>
              <w:bottom w:val="single" w:sz="6" w:space="0" w:color="auto"/>
              <w:right w:val="single" w:sz="6" w:space="0" w:color="auto"/>
            </w:tcBorders>
            <w:vAlign w:val="center"/>
          </w:tcPr>
          <w:p w14:paraId="01B31780" w14:textId="77777777" w:rsidR="000C0F5C" w:rsidRPr="00CA34F5" w:rsidRDefault="000C0F5C" w:rsidP="00BE3A41">
            <w:pPr>
              <w:pStyle w:val="Texto"/>
              <w:spacing w:after="0" w:line="240" w:lineRule="auto"/>
              <w:ind w:firstLine="0"/>
              <w:jc w:val="right"/>
              <w:rPr>
                <w:sz w:val="22"/>
                <w:szCs w:val="22"/>
                <w:lang w:val="es-MX"/>
              </w:rPr>
            </w:pPr>
            <w:r w:rsidRPr="00CA34F5">
              <w:rPr>
                <w:sz w:val="22"/>
                <w:szCs w:val="22"/>
                <w:lang w:val="es-MX"/>
              </w:rPr>
              <w:t>0</w:t>
            </w:r>
          </w:p>
        </w:tc>
        <w:tc>
          <w:tcPr>
            <w:tcW w:w="1843" w:type="dxa"/>
            <w:tcBorders>
              <w:top w:val="single" w:sz="6" w:space="0" w:color="auto"/>
              <w:left w:val="single" w:sz="6" w:space="0" w:color="auto"/>
              <w:bottom w:val="single" w:sz="6" w:space="0" w:color="auto"/>
              <w:right w:val="single" w:sz="6" w:space="0" w:color="auto"/>
            </w:tcBorders>
            <w:vAlign w:val="center"/>
          </w:tcPr>
          <w:p w14:paraId="4E992D04" w14:textId="77777777" w:rsidR="000C0F5C" w:rsidRPr="00D00F54" w:rsidRDefault="000C0F5C" w:rsidP="00BE3A41">
            <w:pPr>
              <w:pStyle w:val="Texto"/>
              <w:spacing w:after="0" w:line="240" w:lineRule="auto"/>
              <w:ind w:firstLine="0"/>
              <w:jc w:val="right"/>
              <w:rPr>
                <w:sz w:val="22"/>
                <w:szCs w:val="22"/>
                <w:lang w:val="es-MX"/>
              </w:rPr>
            </w:pPr>
            <w:r w:rsidRPr="00D00F54">
              <w:rPr>
                <w:sz w:val="22"/>
                <w:szCs w:val="22"/>
                <w:lang w:val="es-MX"/>
              </w:rPr>
              <w:t>0</w:t>
            </w:r>
          </w:p>
        </w:tc>
      </w:tr>
      <w:tr w:rsidR="000C0F5C" w:rsidRPr="00CA34F5" w14:paraId="4D5B83A0" w14:textId="77777777" w:rsidTr="00267429">
        <w:trPr>
          <w:trHeight w:val="20"/>
          <w:jc w:val="center"/>
        </w:trPr>
        <w:tc>
          <w:tcPr>
            <w:tcW w:w="5904" w:type="dxa"/>
            <w:tcBorders>
              <w:top w:val="single" w:sz="6" w:space="0" w:color="auto"/>
              <w:left w:val="single" w:sz="6" w:space="0" w:color="auto"/>
              <w:bottom w:val="single" w:sz="6" w:space="0" w:color="auto"/>
              <w:right w:val="single" w:sz="6" w:space="0" w:color="auto"/>
            </w:tcBorders>
          </w:tcPr>
          <w:p w14:paraId="4E19FB74" w14:textId="77777777" w:rsidR="000C0F5C" w:rsidRPr="00CA34F5" w:rsidRDefault="000C0F5C" w:rsidP="003E3C32">
            <w:pPr>
              <w:pStyle w:val="Texto"/>
              <w:spacing w:after="0" w:line="240" w:lineRule="auto"/>
              <w:ind w:firstLine="0"/>
              <w:rPr>
                <w:sz w:val="22"/>
                <w:szCs w:val="22"/>
                <w:lang w:val="es-MX"/>
              </w:rPr>
            </w:pPr>
            <w:r w:rsidRPr="00CA34F5">
              <w:rPr>
                <w:sz w:val="22"/>
                <w:szCs w:val="22"/>
                <w:lang w:val="es-MX"/>
              </w:rPr>
              <w:t>Incrementos en las provisiones</w:t>
            </w:r>
          </w:p>
        </w:tc>
        <w:tc>
          <w:tcPr>
            <w:tcW w:w="1751" w:type="dxa"/>
            <w:tcBorders>
              <w:top w:val="single" w:sz="6" w:space="0" w:color="auto"/>
              <w:left w:val="single" w:sz="6" w:space="0" w:color="auto"/>
              <w:bottom w:val="single" w:sz="6" w:space="0" w:color="auto"/>
              <w:right w:val="single" w:sz="6" w:space="0" w:color="auto"/>
            </w:tcBorders>
            <w:vAlign w:val="center"/>
          </w:tcPr>
          <w:p w14:paraId="55D07997" w14:textId="77777777" w:rsidR="000C0F5C" w:rsidRPr="00CA34F5" w:rsidRDefault="000C0F5C" w:rsidP="00BE3A41">
            <w:pPr>
              <w:pStyle w:val="Texto"/>
              <w:spacing w:after="0" w:line="240" w:lineRule="auto"/>
              <w:ind w:firstLine="0"/>
              <w:jc w:val="right"/>
              <w:rPr>
                <w:sz w:val="22"/>
                <w:szCs w:val="22"/>
                <w:lang w:val="es-MX"/>
              </w:rPr>
            </w:pPr>
            <w:r w:rsidRPr="00CA34F5">
              <w:rPr>
                <w:sz w:val="22"/>
                <w:szCs w:val="22"/>
                <w:lang w:val="es-MX"/>
              </w:rPr>
              <w:t>0</w:t>
            </w:r>
          </w:p>
        </w:tc>
        <w:tc>
          <w:tcPr>
            <w:tcW w:w="1843" w:type="dxa"/>
            <w:tcBorders>
              <w:top w:val="single" w:sz="6" w:space="0" w:color="auto"/>
              <w:left w:val="single" w:sz="6" w:space="0" w:color="auto"/>
              <w:bottom w:val="single" w:sz="6" w:space="0" w:color="auto"/>
              <w:right w:val="single" w:sz="6" w:space="0" w:color="auto"/>
            </w:tcBorders>
            <w:vAlign w:val="center"/>
          </w:tcPr>
          <w:p w14:paraId="39D577A3" w14:textId="77777777" w:rsidR="000C0F5C" w:rsidRPr="00D00F54" w:rsidRDefault="000C0F5C" w:rsidP="00BE3A41">
            <w:pPr>
              <w:pStyle w:val="Texto"/>
              <w:spacing w:after="0" w:line="240" w:lineRule="auto"/>
              <w:ind w:firstLine="0"/>
              <w:jc w:val="right"/>
              <w:rPr>
                <w:sz w:val="22"/>
                <w:szCs w:val="22"/>
                <w:lang w:val="es-MX"/>
              </w:rPr>
            </w:pPr>
            <w:r w:rsidRPr="00D00F54">
              <w:rPr>
                <w:sz w:val="22"/>
                <w:szCs w:val="22"/>
                <w:lang w:val="es-MX"/>
              </w:rPr>
              <w:t>0</w:t>
            </w:r>
          </w:p>
        </w:tc>
      </w:tr>
      <w:tr w:rsidR="000C0F5C" w:rsidRPr="00CA34F5" w14:paraId="3D4EC8F4" w14:textId="77777777" w:rsidTr="00267429">
        <w:trPr>
          <w:trHeight w:val="20"/>
          <w:jc w:val="center"/>
        </w:trPr>
        <w:tc>
          <w:tcPr>
            <w:tcW w:w="5904" w:type="dxa"/>
            <w:tcBorders>
              <w:top w:val="single" w:sz="6" w:space="0" w:color="auto"/>
              <w:left w:val="single" w:sz="6" w:space="0" w:color="auto"/>
              <w:bottom w:val="single" w:sz="6" w:space="0" w:color="auto"/>
              <w:right w:val="single" w:sz="6" w:space="0" w:color="auto"/>
            </w:tcBorders>
          </w:tcPr>
          <w:p w14:paraId="4AD5820B" w14:textId="77777777" w:rsidR="000C0F5C" w:rsidRPr="00CA34F5" w:rsidRDefault="000C0F5C" w:rsidP="003E3C32">
            <w:pPr>
              <w:pStyle w:val="Texto"/>
              <w:spacing w:after="0" w:line="240" w:lineRule="auto"/>
              <w:ind w:firstLine="0"/>
              <w:rPr>
                <w:sz w:val="22"/>
                <w:szCs w:val="22"/>
                <w:lang w:val="es-MX"/>
              </w:rPr>
            </w:pPr>
            <w:r w:rsidRPr="00CA34F5">
              <w:rPr>
                <w:sz w:val="22"/>
                <w:szCs w:val="22"/>
                <w:lang w:val="es-MX"/>
              </w:rPr>
              <w:t>Incremento en inversiones producido por revaluación</w:t>
            </w:r>
          </w:p>
        </w:tc>
        <w:tc>
          <w:tcPr>
            <w:tcW w:w="1751" w:type="dxa"/>
            <w:tcBorders>
              <w:top w:val="single" w:sz="6" w:space="0" w:color="auto"/>
              <w:left w:val="single" w:sz="6" w:space="0" w:color="auto"/>
              <w:bottom w:val="single" w:sz="6" w:space="0" w:color="auto"/>
              <w:right w:val="single" w:sz="6" w:space="0" w:color="auto"/>
            </w:tcBorders>
            <w:vAlign w:val="center"/>
          </w:tcPr>
          <w:p w14:paraId="7BEAAF91" w14:textId="77777777" w:rsidR="000C0F5C" w:rsidRPr="00CA34F5" w:rsidRDefault="000C0F5C" w:rsidP="00BE3A41">
            <w:pPr>
              <w:pStyle w:val="Texto"/>
              <w:spacing w:after="0" w:line="240" w:lineRule="auto"/>
              <w:ind w:firstLine="0"/>
              <w:jc w:val="right"/>
              <w:rPr>
                <w:sz w:val="22"/>
                <w:szCs w:val="22"/>
                <w:lang w:val="es-MX"/>
              </w:rPr>
            </w:pPr>
            <w:r w:rsidRPr="00CA34F5">
              <w:rPr>
                <w:sz w:val="22"/>
                <w:szCs w:val="22"/>
                <w:lang w:val="es-MX"/>
              </w:rPr>
              <w:t>0</w:t>
            </w:r>
          </w:p>
        </w:tc>
        <w:tc>
          <w:tcPr>
            <w:tcW w:w="1843" w:type="dxa"/>
            <w:tcBorders>
              <w:top w:val="single" w:sz="6" w:space="0" w:color="auto"/>
              <w:left w:val="single" w:sz="6" w:space="0" w:color="auto"/>
              <w:bottom w:val="single" w:sz="6" w:space="0" w:color="auto"/>
              <w:right w:val="single" w:sz="6" w:space="0" w:color="auto"/>
            </w:tcBorders>
            <w:vAlign w:val="center"/>
          </w:tcPr>
          <w:p w14:paraId="755E4A21" w14:textId="77777777" w:rsidR="000C0F5C" w:rsidRPr="00D00F54" w:rsidRDefault="000C0F5C" w:rsidP="00BE3A41">
            <w:pPr>
              <w:pStyle w:val="Texto"/>
              <w:spacing w:after="0" w:line="240" w:lineRule="auto"/>
              <w:ind w:firstLine="0"/>
              <w:jc w:val="right"/>
              <w:rPr>
                <w:sz w:val="22"/>
                <w:szCs w:val="22"/>
                <w:lang w:val="es-MX"/>
              </w:rPr>
            </w:pPr>
            <w:r w:rsidRPr="00D00F54">
              <w:rPr>
                <w:sz w:val="22"/>
                <w:szCs w:val="22"/>
                <w:lang w:val="es-MX"/>
              </w:rPr>
              <w:t>0</w:t>
            </w:r>
          </w:p>
        </w:tc>
      </w:tr>
      <w:tr w:rsidR="000C0F5C" w:rsidRPr="00CA34F5" w14:paraId="3CBD608E" w14:textId="77777777" w:rsidTr="00267429">
        <w:trPr>
          <w:trHeight w:val="20"/>
          <w:jc w:val="center"/>
        </w:trPr>
        <w:tc>
          <w:tcPr>
            <w:tcW w:w="5904" w:type="dxa"/>
            <w:tcBorders>
              <w:top w:val="single" w:sz="6" w:space="0" w:color="auto"/>
              <w:left w:val="single" w:sz="6" w:space="0" w:color="auto"/>
              <w:bottom w:val="single" w:sz="6" w:space="0" w:color="auto"/>
              <w:right w:val="single" w:sz="6" w:space="0" w:color="auto"/>
            </w:tcBorders>
          </w:tcPr>
          <w:p w14:paraId="128000F3" w14:textId="77777777" w:rsidR="000C0F5C" w:rsidRPr="00CA34F5" w:rsidRDefault="000C0F5C" w:rsidP="003E3C32">
            <w:pPr>
              <w:pStyle w:val="Texto"/>
              <w:spacing w:after="0" w:line="240" w:lineRule="auto"/>
              <w:ind w:firstLine="0"/>
              <w:rPr>
                <w:sz w:val="22"/>
                <w:szCs w:val="22"/>
                <w:lang w:val="es-MX"/>
              </w:rPr>
            </w:pPr>
            <w:r w:rsidRPr="00CA34F5">
              <w:rPr>
                <w:sz w:val="22"/>
                <w:szCs w:val="22"/>
                <w:lang w:val="es-MX"/>
              </w:rPr>
              <w:t>Ganancia/pérdida en venta de propiedad, planta y equipo</w:t>
            </w:r>
          </w:p>
        </w:tc>
        <w:tc>
          <w:tcPr>
            <w:tcW w:w="1751" w:type="dxa"/>
            <w:tcBorders>
              <w:top w:val="single" w:sz="6" w:space="0" w:color="auto"/>
              <w:left w:val="single" w:sz="6" w:space="0" w:color="auto"/>
              <w:bottom w:val="single" w:sz="6" w:space="0" w:color="auto"/>
              <w:right w:val="single" w:sz="6" w:space="0" w:color="auto"/>
            </w:tcBorders>
            <w:vAlign w:val="center"/>
          </w:tcPr>
          <w:p w14:paraId="53B1289E" w14:textId="77777777" w:rsidR="000C0F5C" w:rsidRPr="00CA34F5" w:rsidRDefault="000C0F5C" w:rsidP="00BE3A41">
            <w:pPr>
              <w:pStyle w:val="Texto"/>
              <w:spacing w:after="0" w:line="240" w:lineRule="auto"/>
              <w:ind w:firstLine="0"/>
              <w:jc w:val="right"/>
              <w:rPr>
                <w:sz w:val="22"/>
                <w:szCs w:val="22"/>
                <w:lang w:val="es-MX"/>
              </w:rPr>
            </w:pPr>
            <w:r w:rsidRPr="00CA34F5">
              <w:rPr>
                <w:sz w:val="22"/>
                <w:szCs w:val="22"/>
                <w:lang w:val="es-MX"/>
              </w:rPr>
              <w:t>0</w:t>
            </w:r>
          </w:p>
        </w:tc>
        <w:tc>
          <w:tcPr>
            <w:tcW w:w="1843" w:type="dxa"/>
            <w:tcBorders>
              <w:top w:val="single" w:sz="6" w:space="0" w:color="auto"/>
              <w:left w:val="single" w:sz="6" w:space="0" w:color="auto"/>
              <w:bottom w:val="single" w:sz="6" w:space="0" w:color="auto"/>
              <w:right w:val="single" w:sz="6" w:space="0" w:color="auto"/>
            </w:tcBorders>
            <w:vAlign w:val="center"/>
          </w:tcPr>
          <w:p w14:paraId="4E701408" w14:textId="77777777" w:rsidR="000C0F5C" w:rsidRPr="00D00F54" w:rsidRDefault="000C0F5C" w:rsidP="00BE3A41">
            <w:pPr>
              <w:pStyle w:val="Texto"/>
              <w:spacing w:after="0" w:line="240" w:lineRule="auto"/>
              <w:ind w:firstLine="0"/>
              <w:jc w:val="right"/>
              <w:rPr>
                <w:sz w:val="22"/>
                <w:szCs w:val="22"/>
                <w:lang w:val="es-MX"/>
              </w:rPr>
            </w:pPr>
            <w:r w:rsidRPr="00D00F54">
              <w:rPr>
                <w:sz w:val="22"/>
                <w:szCs w:val="22"/>
                <w:lang w:val="es-MX"/>
              </w:rPr>
              <w:t>0</w:t>
            </w:r>
          </w:p>
        </w:tc>
      </w:tr>
      <w:tr w:rsidR="000C0F5C" w:rsidRPr="00CA34F5" w14:paraId="3851967E" w14:textId="77777777" w:rsidTr="00267429">
        <w:trPr>
          <w:trHeight w:val="20"/>
          <w:jc w:val="center"/>
        </w:trPr>
        <w:tc>
          <w:tcPr>
            <w:tcW w:w="5904" w:type="dxa"/>
            <w:tcBorders>
              <w:top w:val="single" w:sz="6" w:space="0" w:color="auto"/>
              <w:left w:val="single" w:sz="6" w:space="0" w:color="auto"/>
              <w:bottom w:val="single" w:sz="6" w:space="0" w:color="auto"/>
              <w:right w:val="single" w:sz="6" w:space="0" w:color="auto"/>
            </w:tcBorders>
          </w:tcPr>
          <w:p w14:paraId="482E05C5" w14:textId="77777777" w:rsidR="000C0F5C" w:rsidRPr="00CA34F5" w:rsidRDefault="000C0F5C" w:rsidP="003E3C32">
            <w:pPr>
              <w:pStyle w:val="Texto"/>
              <w:spacing w:after="0" w:line="240" w:lineRule="auto"/>
              <w:ind w:firstLine="0"/>
              <w:rPr>
                <w:sz w:val="22"/>
                <w:szCs w:val="22"/>
                <w:lang w:val="es-MX"/>
              </w:rPr>
            </w:pPr>
            <w:r w:rsidRPr="00CA34F5">
              <w:rPr>
                <w:sz w:val="22"/>
                <w:szCs w:val="22"/>
                <w:lang w:val="es-MX"/>
              </w:rPr>
              <w:t>Incremento en cuentas por cobrar</w:t>
            </w:r>
          </w:p>
        </w:tc>
        <w:tc>
          <w:tcPr>
            <w:tcW w:w="1751" w:type="dxa"/>
            <w:tcBorders>
              <w:top w:val="single" w:sz="6" w:space="0" w:color="auto"/>
              <w:left w:val="single" w:sz="6" w:space="0" w:color="auto"/>
              <w:bottom w:val="single" w:sz="6" w:space="0" w:color="auto"/>
              <w:right w:val="single" w:sz="6" w:space="0" w:color="auto"/>
            </w:tcBorders>
            <w:vAlign w:val="center"/>
          </w:tcPr>
          <w:p w14:paraId="28A03CC5" w14:textId="07EB5A25" w:rsidR="000C0F5C" w:rsidRPr="00CA34F5" w:rsidRDefault="00C97229" w:rsidP="00BE3A41">
            <w:pPr>
              <w:pStyle w:val="Texto"/>
              <w:spacing w:after="0" w:line="240" w:lineRule="auto"/>
              <w:ind w:firstLine="0"/>
              <w:jc w:val="right"/>
              <w:rPr>
                <w:sz w:val="22"/>
                <w:szCs w:val="22"/>
                <w:lang w:val="es-MX"/>
              </w:rPr>
            </w:pPr>
            <w:r>
              <w:rPr>
                <w:sz w:val="22"/>
                <w:szCs w:val="22"/>
                <w:lang w:val="es-MX"/>
              </w:rPr>
              <w:t>0</w:t>
            </w:r>
          </w:p>
        </w:tc>
        <w:tc>
          <w:tcPr>
            <w:tcW w:w="1843" w:type="dxa"/>
            <w:tcBorders>
              <w:top w:val="single" w:sz="6" w:space="0" w:color="auto"/>
              <w:left w:val="single" w:sz="6" w:space="0" w:color="auto"/>
              <w:bottom w:val="single" w:sz="6" w:space="0" w:color="auto"/>
              <w:right w:val="single" w:sz="6" w:space="0" w:color="auto"/>
            </w:tcBorders>
            <w:vAlign w:val="center"/>
          </w:tcPr>
          <w:p w14:paraId="2648221E" w14:textId="77777777" w:rsidR="000C0F5C" w:rsidRPr="00D00F54" w:rsidRDefault="000C0F5C" w:rsidP="00BE3A41">
            <w:pPr>
              <w:pStyle w:val="Texto"/>
              <w:spacing w:after="0" w:line="240" w:lineRule="auto"/>
              <w:ind w:firstLine="0"/>
              <w:jc w:val="right"/>
              <w:rPr>
                <w:sz w:val="22"/>
                <w:szCs w:val="22"/>
                <w:lang w:val="es-MX"/>
              </w:rPr>
            </w:pPr>
            <w:r w:rsidRPr="00D00F54">
              <w:rPr>
                <w:sz w:val="22"/>
                <w:szCs w:val="22"/>
                <w:lang w:val="es-MX"/>
              </w:rPr>
              <w:t>0</w:t>
            </w:r>
          </w:p>
        </w:tc>
      </w:tr>
      <w:tr w:rsidR="000C0F5C" w:rsidRPr="00CA34F5" w14:paraId="25341BE4" w14:textId="77777777" w:rsidTr="00267429">
        <w:trPr>
          <w:trHeight w:val="20"/>
          <w:jc w:val="center"/>
        </w:trPr>
        <w:tc>
          <w:tcPr>
            <w:tcW w:w="5904" w:type="dxa"/>
            <w:tcBorders>
              <w:top w:val="single" w:sz="6" w:space="0" w:color="auto"/>
              <w:left w:val="single" w:sz="6" w:space="0" w:color="auto"/>
              <w:bottom w:val="single" w:sz="6" w:space="0" w:color="auto"/>
              <w:right w:val="single" w:sz="6" w:space="0" w:color="auto"/>
            </w:tcBorders>
          </w:tcPr>
          <w:p w14:paraId="2D071F17" w14:textId="77777777" w:rsidR="000C0F5C" w:rsidRPr="00CA34F5" w:rsidRDefault="000C0F5C" w:rsidP="003E3C32">
            <w:pPr>
              <w:pStyle w:val="Texto"/>
              <w:spacing w:after="0" w:line="240" w:lineRule="auto"/>
              <w:ind w:firstLine="0"/>
              <w:rPr>
                <w:sz w:val="22"/>
                <w:szCs w:val="22"/>
                <w:lang w:val="es-MX"/>
              </w:rPr>
            </w:pPr>
            <w:r w:rsidRPr="00CA34F5">
              <w:rPr>
                <w:sz w:val="22"/>
                <w:szCs w:val="22"/>
                <w:lang w:val="es-MX"/>
              </w:rPr>
              <w:t>Partidas extraordinarias</w:t>
            </w:r>
          </w:p>
        </w:tc>
        <w:tc>
          <w:tcPr>
            <w:tcW w:w="1751" w:type="dxa"/>
            <w:tcBorders>
              <w:top w:val="single" w:sz="6" w:space="0" w:color="auto"/>
              <w:left w:val="single" w:sz="6" w:space="0" w:color="auto"/>
              <w:bottom w:val="single" w:sz="6" w:space="0" w:color="auto"/>
              <w:right w:val="single" w:sz="6" w:space="0" w:color="auto"/>
            </w:tcBorders>
            <w:vAlign w:val="center"/>
          </w:tcPr>
          <w:p w14:paraId="05407B7E" w14:textId="7C77B021" w:rsidR="000C0F5C" w:rsidRPr="00CA34F5" w:rsidRDefault="00C97229" w:rsidP="00BE3A41">
            <w:pPr>
              <w:pStyle w:val="Texto"/>
              <w:spacing w:after="0" w:line="240" w:lineRule="auto"/>
              <w:ind w:firstLine="0"/>
              <w:jc w:val="right"/>
              <w:rPr>
                <w:sz w:val="22"/>
                <w:szCs w:val="22"/>
                <w:lang w:val="es-MX"/>
              </w:rPr>
            </w:pPr>
            <w:r>
              <w:rPr>
                <w:sz w:val="22"/>
                <w:szCs w:val="22"/>
                <w:lang w:val="es-MX"/>
              </w:rPr>
              <w:t>-1,978,993,638</w:t>
            </w:r>
          </w:p>
        </w:tc>
        <w:tc>
          <w:tcPr>
            <w:tcW w:w="1843" w:type="dxa"/>
            <w:tcBorders>
              <w:top w:val="single" w:sz="6" w:space="0" w:color="auto"/>
              <w:left w:val="single" w:sz="6" w:space="0" w:color="auto"/>
              <w:bottom w:val="single" w:sz="6" w:space="0" w:color="auto"/>
              <w:right w:val="single" w:sz="6" w:space="0" w:color="auto"/>
            </w:tcBorders>
            <w:vAlign w:val="center"/>
          </w:tcPr>
          <w:p w14:paraId="15CE44DA" w14:textId="16ACD934" w:rsidR="000C0F5C" w:rsidRPr="00D00F54" w:rsidRDefault="000C0F5C" w:rsidP="00BE3A41">
            <w:pPr>
              <w:pStyle w:val="Texto"/>
              <w:spacing w:line="240" w:lineRule="auto"/>
              <w:jc w:val="right"/>
              <w:rPr>
                <w:sz w:val="22"/>
                <w:szCs w:val="22"/>
              </w:rPr>
            </w:pPr>
            <w:r w:rsidRPr="00D00F54">
              <w:rPr>
                <w:sz w:val="22"/>
                <w:szCs w:val="22"/>
              </w:rPr>
              <w:t>-110,739</w:t>
            </w:r>
          </w:p>
        </w:tc>
      </w:tr>
      <w:tr w:rsidR="000C0F5C" w:rsidRPr="00CA34F5" w14:paraId="6E223B81" w14:textId="77777777" w:rsidTr="00267429">
        <w:trPr>
          <w:trHeight w:val="287"/>
          <w:jc w:val="center"/>
        </w:trPr>
        <w:tc>
          <w:tcPr>
            <w:tcW w:w="5904" w:type="dxa"/>
            <w:tcBorders>
              <w:top w:val="single" w:sz="6" w:space="0" w:color="auto"/>
              <w:left w:val="single" w:sz="6" w:space="0" w:color="auto"/>
              <w:bottom w:val="single" w:sz="6" w:space="0" w:color="auto"/>
              <w:right w:val="single" w:sz="6" w:space="0" w:color="auto"/>
            </w:tcBorders>
          </w:tcPr>
          <w:p w14:paraId="5B1EB23F" w14:textId="77777777" w:rsidR="000C0F5C" w:rsidRPr="00CA34F5" w:rsidRDefault="000C0F5C" w:rsidP="003E3C32">
            <w:pPr>
              <w:pStyle w:val="Texto"/>
              <w:spacing w:after="0" w:line="240" w:lineRule="auto"/>
              <w:ind w:firstLine="0"/>
              <w:rPr>
                <w:b/>
                <w:sz w:val="22"/>
                <w:szCs w:val="22"/>
                <w:lang w:val="es-MX"/>
              </w:rPr>
            </w:pPr>
            <w:r w:rsidRPr="00CA34F5">
              <w:rPr>
                <w:b/>
                <w:sz w:val="22"/>
                <w:szCs w:val="22"/>
                <w:lang w:val="es-MX"/>
              </w:rPr>
              <w:t>Ahorro/Desahorro</w:t>
            </w:r>
          </w:p>
        </w:tc>
        <w:tc>
          <w:tcPr>
            <w:tcW w:w="1751" w:type="dxa"/>
            <w:tcBorders>
              <w:top w:val="single" w:sz="6" w:space="0" w:color="auto"/>
              <w:left w:val="single" w:sz="6" w:space="0" w:color="auto"/>
              <w:bottom w:val="single" w:sz="6" w:space="0" w:color="auto"/>
              <w:right w:val="single" w:sz="6" w:space="0" w:color="auto"/>
            </w:tcBorders>
            <w:vAlign w:val="center"/>
          </w:tcPr>
          <w:p w14:paraId="43A91279" w14:textId="77777777" w:rsidR="000C0F5C" w:rsidRPr="00CA34F5" w:rsidRDefault="000C0F5C" w:rsidP="00BE3A41">
            <w:pPr>
              <w:spacing w:line="240" w:lineRule="auto"/>
              <w:jc w:val="right"/>
              <w:rPr>
                <w:rFonts w:ascii="Arial" w:hAnsi="Arial" w:cs="Arial"/>
                <w:b/>
                <w:bCs/>
                <w:color w:val="000000"/>
              </w:rPr>
            </w:pPr>
            <w:r w:rsidRPr="00CA34F5">
              <w:rPr>
                <w:rFonts w:ascii="Arial" w:hAnsi="Arial" w:cs="Arial"/>
                <w:b/>
                <w:bCs/>
                <w:color w:val="000000"/>
              </w:rPr>
              <w:t>-554,956,682</w:t>
            </w:r>
          </w:p>
        </w:tc>
        <w:tc>
          <w:tcPr>
            <w:tcW w:w="1843" w:type="dxa"/>
            <w:tcBorders>
              <w:top w:val="single" w:sz="6" w:space="0" w:color="auto"/>
              <w:left w:val="single" w:sz="6" w:space="0" w:color="auto"/>
              <w:bottom w:val="single" w:sz="6" w:space="0" w:color="auto"/>
              <w:right w:val="single" w:sz="6" w:space="0" w:color="auto"/>
            </w:tcBorders>
            <w:vAlign w:val="center"/>
          </w:tcPr>
          <w:p w14:paraId="483681E6" w14:textId="77777777" w:rsidR="000C0F5C" w:rsidRPr="00CA34F5" w:rsidRDefault="000C0F5C" w:rsidP="00BE3A41">
            <w:pPr>
              <w:pStyle w:val="Texto"/>
              <w:spacing w:after="0" w:line="240" w:lineRule="auto"/>
              <w:ind w:firstLine="0"/>
              <w:jc w:val="right"/>
              <w:rPr>
                <w:b/>
                <w:sz w:val="22"/>
                <w:szCs w:val="22"/>
                <w:lang w:val="es-MX"/>
              </w:rPr>
            </w:pPr>
            <w:r w:rsidRPr="00CA34F5">
              <w:rPr>
                <w:b/>
                <w:sz w:val="22"/>
                <w:szCs w:val="22"/>
                <w:lang w:val="es-MX"/>
              </w:rPr>
              <w:t>24,022,507</w:t>
            </w:r>
          </w:p>
        </w:tc>
      </w:tr>
    </w:tbl>
    <w:p w14:paraId="1B7A99D7" w14:textId="77777777" w:rsidR="00C9355D" w:rsidRDefault="00C9355D" w:rsidP="000A4C31">
      <w:pPr>
        <w:spacing w:line="240" w:lineRule="auto"/>
        <w:jc w:val="both"/>
        <w:rPr>
          <w:rFonts w:ascii="Arial" w:hAnsi="Arial" w:cs="Arial"/>
        </w:rPr>
      </w:pPr>
    </w:p>
    <w:p w14:paraId="72A91733" w14:textId="77777777" w:rsidR="00EC412C" w:rsidRDefault="00EC412C" w:rsidP="000A4C31">
      <w:pPr>
        <w:spacing w:after="0" w:line="240" w:lineRule="auto"/>
        <w:jc w:val="both"/>
        <w:rPr>
          <w:rFonts w:ascii="Arial" w:eastAsia="Calibri" w:hAnsi="Arial" w:cs="Arial"/>
          <w:b/>
        </w:rPr>
      </w:pPr>
    </w:p>
    <w:p w14:paraId="5B75D72B" w14:textId="77777777" w:rsidR="00267429" w:rsidRDefault="00267429" w:rsidP="000A4C31">
      <w:pPr>
        <w:spacing w:after="0" w:line="240" w:lineRule="auto"/>
        <w:jc w:val="both"/>
        <w:rPr>
          <w:rFonts w:ascii="Arial" w:eastAsia="Calibri" w:hAnsi="Arial" w:cs="Arial"/>
          <w:b/>
        </w:rPr>
      </w:pPr>
    </w:p>
    <w:p w14:paraId="352D9AE0" w14:textId="520BED6F" w:rsidR="009E4066" w:rsidRPr="00CA34F5" w:rsidRDefault="009E4066" w:rsidP="000A4C31">
      <w:pPr>
        <w:spacing w:after="0" w:line="240" w:lineRule="auto"/>
        <w:jc w:val="both"/>
        <w:rPr>
          <w:rFonts w:ascii="Arial" w:eastAsia="Calibri" w:hAnsi="Arial" w:cs="Arial"/>
          <w:b/>
        </w:rPr>
      </w:pPr>
      <w:r w:rsidRPr="00CA34F5">
        <w:rPr>
          <w:rFonts w:ascii="Arial" w:eastAsia="Calibri" w:hAnsi="Arial" w:cs="Arial"/>
          <w:b/>
        </w:rPr>
        <w:t xml:space="preserve">V) </w:t>
      </w:r>
      <w:r w:rsidR="002748A4" w:rsidRPr="00CA34F5">
        <w:rPr>
          <w:rFonts w:ascii="Arial" w:eastAsia="Calibri" w:hAnsi="Arial" w:cs="Arial"/>
          <w:b/>
        </w:rPr>
        <w:t>CONCILIACIÓN ENTRE LOS INGRESOS PRESUPUESTARIOS Y CONTABLES, ASI COMO ENTRE LOS EGRESOS PRESUPUESTARIOS Y LOS GASTOS CONTABLES.</w:t>
      </w:r>
    </w:p>
    <w:p w14:paraId="26040E27" w14:textId="0FA2DC06" w:rsidR="00EC738F" w:rsidRDefault="00EE53BF" w:rsidP="000A4C31">
      <w:pPr>
        <w:spacing w:before="240" w:after="0" w:line="240" w:lineRule="auto"/>
        <w:jc w:val="both"/>
        <w:rPr>
          <w:rFonts w:ascii="Arial" w:eastAsia="Calibri" w:hAnsi="Arial" w:cs="Arial"/>
        </w:rPr>
      </w:pPr>
      <w:r w:rsidRPr="00CA34F5">
        <w:rPr>
          <w:rFonts w:ascii="Arial" w:eastAsia="Calibri" w:hAnsi="Arial" w:cs="Arial"/>
        </w:rPr>
        <w:t>La Conciliación se presenta según el A</w:t>
      </w:r>
      <w:r w:rsidR="00EB3D0C" w:rsidRPr="00CA34F5">
        <w:rPr>
          <w:rFonts w:ascii="Arial" w:eastAsia="Calibri" w:hAnsi="Arial" w:cs="Arial"/>
        </w:rPr>
        <w:t>cuerdo del Consejo Nacional de Armonización C</w:t>
      </w:r>
      <w:r w:rsidR="00C75D56" w:rsidRPr="00CA34F5">
        <w:rPr>
          <w:rFonts w:ascii="Arial" w:eastAsia="Calibri" w:hAnsi="Arial" w:cs="Arial"/>
        </w:rPr>
        <w:t>ontable por el que</w:t>
      </w:r>
      <w:r w:rsidRPr="00CA34F5">
        <w:rPr>
          <w:rFonts w:ascii="Arial" w:eastAsia="Calibri" w:hAnsi="Arial" w:cs="Arial"/>
        </w:rPr>
        <w:t xml:space="preserve"> emitió el formato de conciliación entre los Ingresos Presupuestarios y contables, así como entre los Egreso</w:t>
      </w:r>
      <w:r w:rsidR="002748A4" w:rsidRPr="00CA34F5">
        <w:rPr>
          <w:rFonts w:ascii="Arial" w:eastAsia="Calibri" w:hAnsi="Arial" w:cs="Arial"/>
        </w:rPr>
        <w:t>s</w:t>
      </w:r>
      <w:r w:rsidRPr="00CA34F5">
        <w:rPr>
          <w:rFonts w:ascii="Arial" w:eastAsia="Calibri" w:hAnsi="Arial" w:cs="Arial"/>
        </w:rPr>
        <w:t xml:space="preserve"> Presupuestarios y los Gastos contable</w:t>
      </w:r>
      <w:r w:rsidR="002748A4" w:rsidRPr="00CA34F5">
        <w:rPr>
          <w:rFonts w:ascii="Arial" w:eastAsia="Calibri" w:hAnsi="Arial" w:cs="Arial"/>
        </w:rPr>
        <w:t xml:space="preserve">s </w:t>
      </w:r>
      <w:r w:rsidRPr="00CA34F5">
        <w:rPr>
          <w:rFonts w:ascii="Arial" w:eastAsia="Calibri" w:hAnsi="Arial" w:cs="Arial"/>
        </w:rPr>
        <w:t>reforma</w:t>
      </w:r>
      <w:r w:rsidR="00480476" w:rsidRPr="00CA34F5">
        <w:rPr>
          <w:rFonts w:ascii="Arial" w:eastAsia="Calibri" w:hAnsi="Arial" w:cs="Arial"/>
        </w:rPr>
        <w:t>do el 27 de septiembre del 2018</w:t>
      </w:r>
    </w:p>
    <w:p w14:paraId="52CC6975" w14:textId="77777777" w:rsidR="00267429" w:rsidRDefault="00267429" w:rsidP="000A4C31">
      <w:pPr>
        <w:spacing w:before="240" w:after="0" w:line="240" w:lineRule="auto"/>
        <w:jc w:val="both"/>
        <w:rPr>
          <w:rFonts w:ascii="Arial" w:eastAsia="Calibri" w:hAnsi="Arial" w:cs="Arial"/>
        </w:rPr>
      </w:pPr>
    </w:p>
    <w:p w14:paraId="06F6895F" w14:textId="77777777" w:rsidR="00267429" w:rsidRDefault="00267429" w:rsidP="000A4C31">
      <w:pPr>
        <w:spacing w:before="240" w:after="0" w:line="240" w:lineRule="auto"/>
        <w:jc w:val="both"/>
        <w:rPr>
          <w:rFonts w:ascii="Arial" w:eastAsia="Calibri" w:hAnsi="Arial" w:cs="Arial"/>
        </w:rPr>
      </w:pPr>
    </w:p>
    <w:p w14:paraId="3B00A926" w14:textId="77777777" w:rsidR="00267429" w:rsidRDefault="00267429" w:rsidP="000A4C31">
      <w:pPr>
        <w:spacing w:before="240" w:after="0" w:line="240" w:lineRule="auto"/>
        <w:jc w:val="both"/>
        <w:rPr>
          <w:rFonts w:ascii="Arial" w:eastAsia="Calibri" w:hAnsi="Arial" w:cs="Arial"/>
        </w:rPr>
      </w:pPr>
    </w:p>
    <w:p w14:paraId="2365F404" w14:textId="77777777" w:rsidR="00267429" w:rsidRDefault="00267429" w:rsidP="000A4C31">
      <w:pPr>
        <w:spacing w:before="240" w:after="0" w:line="240" w:lineRule="auto"/>
        <w:jc w:val="both"/>
        <w:rPr>
          <w:rFonts w:ascii="Arial" w:eastAsia="Calibri" w:hAnsi="Arial" w:cs="Arial"/>
        </w:rPr>
      </w:pPr>
    </w:p>
    <w:p w14:paraId="194F15CC" w14:textId="77777777" w:rsidR="00267429" w:rsidRDefault="00267429" w:rsidP="000A4C31">
      <w:pPr>
        <w:spacing w:before="240" w:after="0" w:line="240" w:lineRule="auto"/>
        <w:jc w:val="both"/>
        <w:rPr>
          <w:rFonts w:ascii="Arial" w:eastAsia="Calibri" w:hAnsi="Arial" w:cs="Arial"/>
        </w:rPr>
      </w:pPr>
    </w:p>
    <w:p w14:paraId="7A4354C6" w14:textId="77777777" w:rsidR="00267429" w:rsidRPr="00CA34F5" w:rsidRDefault="00267429" w:rsidP="000A4C31">
      <w:pPr>
        <w:spacing w:before="240" w:after="0" w:line="240" w:lineRule="auto"/>
        <w:jc w:val="both"/>
        <w:rPr>
          <w:rFonts w:ascii="Arial" w:eastAsia="Calibri" w:hAnsi="Arial" w:cs="Arial"/>
        </w:rPr>
      </w:pPr>
    </w:p>
    <w:p w14:paraId="6CC6001E" w14:textId="77777777" w:rsidR="00A9425C" w:rsidRPr="00CA34F5" w:rsidRDefault="00A9425C" w:rsidP="000A4C31">
      <w:pPr>
        <w:spacing w:before="240" w:after="0" w:line="240" w:lineRule="auto"/>
        <w:jc w:val="both"/>
        <w:rPr>
          <w:rFonts w:ascii="Arial" w:eastAsia="Calibri" w:hAnsi="Arial" w:cs="Arial"/>
        </w:rPr>
      </w:pPr>
    </w:p>
    <w:tbl>
      <w:tblPr>
        <w:tblW w:w="8820" w:type="dxa"/>
        <w:jc w:val="center"/>
        <w:tblCellMar>
          <w:left w:w="70" w:type="dxa"/>
          <w:right w:w="70" w:type="dxa"/>
        </w:tblCellMar>
        <w:tblLook w:val="04A0" w:firstRow="1" w:lastRow="0" w:firstColumn="1" w:lastColumn="0" w:noHBand="0" w:noVBand="1"/>
      </w:tblPr>
      <w:tblGrid>
        <w:gridCol w:w="680"/>
        <w:gridCol w:w="6420"/>
        <w:gridCol w:w="1720"/>
      </w:tblGrid>
      <w:tr w:rsidR="001B1668" w:rsidRPr="00CA34F5" w14:paraId="36E81875" w14:textId="77777777" w:rsidTr="006070C7">
        <w:trPr>
          <w:trHeight w:val="300"/>
          <w:jc w:val="center"/>
        </w:trPr>
        <w:tc>
          <w:tcPr>
            <w:tcW w:w="8820" w:type="dxa"/>
            <w:gridSpan w:val="3"/>
            <w:tcBorders>
              <w:top w:val="single" w:sz="8" w:space="0" w:color="auto"/>
              <w:left w:val="single" w:sz="8" w:space="0" w:color="auto"/>
              <w:bottom w:val="nil"/>
              <w:right w:val="single" w:sz="8" w:space="0" w:color="000000"/>
            </w:tcBorders>
            <w:shd w:val="clear" w:color="000000" w:fill="C0C0C0"/>
            <w:noWrap/>
            <w:vAlign w:val="center"/>
            <w:hideMark/>
          </w:tcPr>
          <w:p w14:paraId="486DC9EB" w14:textId="77777777" w:rsidR="001B1668" w:rsidRPr="00CA34F5" w:rsidRDefault="001B1668" w:rsidP="001B1668">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lastRenderedPageBreak/>
              <w:t xml:space="preserve">Nombre del Ente Público </w:t>
            </w:r>
          </w:p>
        </w:tc>
      </w:tr>
      <w:tr w:rsidR="001B1668" w:rsidRPr="00CA34F5" w14:paraId="56FE43FE" w14:textId="77777777" w:rsidTr="006070C7">
        <w:trPr>
          <w:trHeight w:val="300"/>
          <w:jc w:val="center"/>
        </w:trPr>
        <w:tc>
          <w:tcPr>
            <w:tcW w:w="8820" w:type="dxa"/>
            <w:gridSpan w:val="3"/>
            <w:tcBorders>
              <w:top w:val="nil"/>
              <w:left w:val="single" w:sz="8" w:space="0" w:color="auto"/>
              <w:bottom w:val="nil"/>
              <w:right w:val="single" w:sz="8" w:space="0" w:color="000000"/>
            </w:tcBorders>
            <w:shd w:val="clear" w:color="000000" w:fill="C0C0C0"/>
            <w:vAlign w:val="center"/>
            <w:hideMark/>
          </w:tcPr>
          <w:p w14:paraId="00FF236A" w14:textId="77777777" w:rsidR="001B1668" w:rsidRPr="00CA34F5" w:rsidRDefault="001B1668" w:rsidP="001B1668">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 Conciliación entre los Ingresos Presupuestarios y Contables </w:t>
            </w:r>
          </w:p>
        </w:tc>
      </w:tr>
      <w:tr w:rsidR="001B1668" w:rsidRPr="00CA34F5" w14:paraId="0D577352" w14:textId="77777777" w:rsidTr="006070C7">
        <w:trPr>
          <w:trHeight w:val="300"/>
          <w:jc w:val="center"/>
        </w:trPr>
        <w:tc>
          <w:tcPr>
            <w:tcW w:w="8820" w:type="dxa"/>
            <w:gridSpan w:val="3"/>
            <w:tcBorders>
              <w:top w:val="nil"/>
              <w:left w:val="single" w:sz="8" w:space="0" w:color="auto"/>
              <w:bottom w:val="nil"/>
              <w:right w:val="single" w:sz="8" w:space="0" w:color="000000"/>
            </w:tcBorders>
            <w:shd w:val="clear" w:color="000000" w:fill="C0C0C0"/>
            <w:vAlign w:val="center"/>
            <w:hideMark/>
          </w:tcPr>
          <w:p w14:paraId="738340BC" w14:textId="77777777" w:rsidR="001B1668" w:rsidRPr="00CA34F5" w:rsidRDefault="001B1668" w:rsidP="001B1668">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 Correspondiente del 01 de enero al 31 de diciembre 2021 </w:t>
            </w:r>
          </w:p>
        </w:tc>
      </w:tr>
      <w:tr w:rsidR="001B1668" w:rsidRPr="00CA34F5" w14:paraId="0120A12B" w14:textId="77777777" w:rsidTr="006070C7">
        <w:trPr>
          <w:trHeight w:val="300"/>
          <w:jc w:val="center"/>
        </w:trPr>
        <w:tc>
          <w:tcPr>
            <w:tcW w:w="8820" w:type="dxa"/>
            <w:gridSpan w:val="3"/>
            <w:tcBorders>
              <w:top w:val="nil"/>
              <w:left w:val="single" w:sz="8" w:space="0" w:color="auto"/>
              <w:bottom w:val="single" w:sz="8" w:space="0" w:color="auto"/>
              <w:right w:val="single" w:sz="8" w:space="0" w:color="000000"/>
            </w:tcBorders>
            <w:shd w:val="clear" w:color="000000" w:fill="C0C0C0"/>
            <w:vAlign w:val="center"/>
            <w:hideMark/>
          </w:tcPr>
          <w:p w14:paraId="6EEFD08D" w14:textId="77777777" w:rsidR="001B1668" w:rsidRPr="00CA34F5" w:rsidRDefault="001B1668" w:rsidP="001B1668">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 (Cifras en pesos) </w:t>
            </w:r>
          </w:p>
        </w:tc>
      </w:tr>
      <w:tr w:rsidR="001B1668" w:rsidRPr="00CA34F5" w14:paraId="5021BDF9" w14:textId="77777777" w:rsidTr="006070C7">
        <w:trPr>
          <w:trHeight w:val="540"/>
          <w:jc w:val="center"/>
        </w:trPr>
        <w:tc>
          <w:tcPr>
            <w:tcW w:w="7100" w:type="dxa"/>
            <w:gridSpan w:val="2"/>
            <w:tcBorders>
              <w:top w:val="single" w:sz="8" w:space="0" w:color="auto"/>
              <w:left w:val="single" w:sz="8" w:space="0" w:color="auto"/>
              <w:bottom w:val="nil"/>
              <w:right w:val="single" w:sz="8" w:space="0" w:color="000000"/>
            </w:tcBorders>
            <w:shd w:val="clear" w:color="000000" w:fill="C0C0C0"/>
            <w:vAlign w:val="center"/>
            <w:hideMark/>
          </w:tcPr>
          <w:p w14:paraId="5BD3B07B" w14:textId="77777777" w:rsidR="001B1668" w:rsidRPr="00CA34F5" w:rsidRDefault="001B1668" w:rsidP="001B1668">
            <w:pPr>
              <w:spacing w:after="0" w:line="240" w:lineRule="auto"/>
              <w:jc w:val="both"/>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 1. Total de Ingresos Presupuestarios </w:t>
            </w:r>
          </w:p>
        </w:tc>
        <w:tc>
          <w:tcPr>
            <w:tcW w:w="1720" w:type="dxa"/>
            <w:tcBorders>
              <w:top w:val="nil"/>
              <w:left w:val="nil"/>
              <w:bottom w:val="nil"/>
              <w:right w:val="single" w:sz="8" w:space="0" w:color="auto"/>
            </w:tcBorders>
            <w:shd w:val="clear" w:color="000000" w:fill="BFBFBF"/>
            <w:vAlign w:val="center"/>
            <w:hideMark/>
          </w:tcPr>
          <w:p w14:paraId="632651EC" w14:textId="1EEC1F58" w:rsidR="001B1668" w:rsidRPr="00CA34F5" w:rsidRDefault="001B1668" w:rsidP="001A5BBB">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 </w:t>
            </w:r>
            <w:r w:rsidR="00E93472" w:rsidRPr="00CA34F5">
              <w:rPr>
                <w:rFonts w:ascii="Arial" w:eastAsia="Times New Roman" w:hAnsi="Arial" w:cs="Arial"/>
                <w:b/>
                <w:bCs/>
                <w:color w:val="000000"/>
                <w:lang w:eastAsia="es-MX"/>
              </w:rPr>
              <w:t>6</w:t>
            </w:r>
            <w:r w:rsidRPr="00CA34F5">
              <w:rPr>
                <w:rFonts w:ascii="Arial" w:eastAsia="Times New Roman" w:hAnsi="Arial" w:cs="Arial"/>
                <w:b/>
                <w:bCs/>
                <w:color w:val="000000"/>
                <w:lang w:eastAsia="es-MX"/>
              </w:rPr>
              <w:t xml:space="preserve">1,603,764,032 </w:t>
            </w:r>
          </w:p>
        </w:tc>
      </w:tr>
      <w:tr w:rsidR="001B1668" w:rsidRPr="00CA34F5" w14:paraId="169F7F36" w14:textId="77777777" w:rsidTr="006070C7">
        <w:trPr>
          <w:trHeight w:val="300"/>
          <w:jc w:val="center"/>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81E13C" w14:textId="77777777" w:rsidR="001B1668" w:rsidRPr="00CA34F5" w:rsidRDefault="001B1668" w:rsidP="001B1668">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6AA843A" w14:textId="77777777" w:rsidR="001B1668" w:rsidRPr="00CA34F5" w:rsidRDefault="001B1668" w:rsidP="001B1668">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 </w:t>
            </w:r>
          </w:p>
        </w:tc>
      </w:tr>
      <w:tr w:rsidR="001B1668" w:rsidRPr="00CA34F5" w14:paraId="75ACFF09" w14:textId="77777777" w:rsidTr="006070C7">
        <w:trPr>
          <w:trHeight w:val="570"/>
          <w:jc w:val="center"/>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E001CC" w14:textId="77777777" w:rsidR="001B1668" w:rsidRPr="00CA34F5" w:rsidRDefault="001B1668" w:rsidP="001B1668">
            <w:pPr>
              <w:spacing w:after="0" w:line="240" w:lineRule="auto"/>
              <w:jc w:val="both"/>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 2. Más Ingresos Contables No Presupuestarios </w:t>
            </w:r>
          </w:p>
        </w:tc>
        <w:tc>
          <w:tcPr>
            <w:tcW w:w="1720" w:type="dxa"/>
            <w:tcBorders>
              <w:top w:val="nil"/>
              <w:left w:val="nil"/>
              <w:bottom w:val="single" w:sz="4" w:space="0" w:color="auto"/>
              <w:right w:val="single" w:sz="4" w:space="0" w:color="auto"/>
            </w:tcBorders>
            <w:shd w:val="clear" w:color="auto" w:fill="auto"/>
            <w:vAlign w:val="center"/>
            <w:hideMark/>
          </w:tcPr>
          <w:p w14:paraId="4FB1DE61" w14:textId="77777777" w:rsidR="001B1668" w:rsidRPr="00CA34F5" w:rsidRDefault="001B1668" w:rsidP="001B1668">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                      83 </w:t>
            </w:r>
          </w:p>
        </w:tc>
      </w:tr>
      <w:tr w:rsidR="001B1668" w:rsidRPr="00CA34F5" w14:paraId="658F08BA" w14:textId="77777777" w:rsidTr="006070C7">
        <w:trPr>
          <w:trHeight w:val="36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8C0E745" w14:textId="1C9EAA6A" w:rsidR="001B1668" w:rsidRPr="00CA34F5" w:rsidRDefault="003C2B85" w:rsidP="001B166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2.1</w:t>
            </w:r>
          </w:p>
        </w:tc>
        <w:tc>
          <w:tcPr>
            <w:tcW w:w="6420" w:type="dxa"/>
            <w:tcBorders>
              <w:top w:val="nil"/>
              <w:left w:val="nil"/>
              <w:bottom w:val="single" w:sz="4" w:space="0" w:color="auto"/>
              <w:right w:val="single" w:sz="4" w:space="0" w:color="auto"/>
            </w:tcBorders>
            <w:shd w:val="clear" w:color="auto" w:fill="auto"/>
            <w:vAlign w:val="center"/>
            <w:hideMark/>
          </w:tcPr>
          <w:p w14:paraId="6B75043A" w14:textId="77777777" w:rsidR="001B1668" w:rsidRPr="00CA34F5" w:rsidRDefault="001B1668" w:rsidP="001B1668">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 xml:space="preserve"> Ingresos Financieros </w:t>
            </w:r>
          </w:p>
        </w:tc>
        <w:tc>
          <w:tcPr>
            <w:tcW w:w="1720" w:type="dxa"/>
            <w:tcBorders>
              <w:top w:val="nil"/>
              <w:left w:val="nil"/>
              <w:bottom w:val="single" w:sz="4" w:space="0" w:color="auto"/>
              <w:right w:val="single" w:sz="4" w:space="0" w:color="auto"/>
            </w:tcBorders>
            <w:shd w:val="clear" w:color="auto" w:fill="auto"/>
            <w:vAlign w:val="center"/>
            <w:hideMark/>
          </w:tcPr>
          <w:p w14:paraId="03300DD3" w14:textId="77777777" w:rsidR="001B1668" w:rsidRPr="00CA34F5" w:rsidRDefault="001B1668" w:rsidP="001B1668">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 </w:t>
            </w:r>
          </w:p>
        </w:tc>
      </w:tr>
      <w:tr w:rsidR="001B1668" w:rsidRPr="00CA34F5" w14:paraId="0E8CBC45" w14:textId="77777777" w:rsidTr="006070C7">
        <w:trPr>
          <w:trHeight w:val="28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B4EC6CD" w14:textId="28DBA146" w:rsidR="001B1668" w:rsidRPr="00CA34F5" w:rsidRDefault="003C2B85" w:rsidP="001B166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2.2</w:t>
            </w:r>
            <w:r w:rsidR="001B1668" w:rsidRPr="00CA34F5">
              <w:rPr>
                <w:rFonts w:ascii="Arial" w:eastAsia="Times New Roman" w:hAnsi="Arial" w:cs="Arial"/>
                <w:color w:val="000000"/>
                <w:lang w:eastAsia="es-MX"/>
              </w:rPr>
              <w:t xml:space="preserve"> </w:t>
            </w:r>
          </w:p>
        </w:tc>
        <w:tc>
          <w:tcPr>
            <w:tcW w:w="6420" w:type="dxa"/>
            <w:tcBorders>
              <w:top w:val="nil"/>
              <w:left w:val="nil"/>
              <w:bottom w:val="single" w:sz="4" w:space="0" w:color="auto"/>
              <w:right w:val="single" w:sz="4" w:space="0" w:color="auto"/>
            </w:tcBorders>
            <w:shd w:val="clear" w:color="auto" w:fill="auto"/>
            <w:vAlign w:val="center"/>
            <w:hideMark/>
          </w:tcPr>
          <w:p w14:paraId="582D8149" w14:textId="77777777" w:rsidR="001B1668" w:rsidRPr="00CA34F5" w:rsidRDefault="001B1668" w:rsidP="001B1668">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 xml:space="preserve"> Incremento por Variación de Inventarios </w:t>
            </w:r>
          </w:p>
        </w:tc>
        <w:tc>
          <w:tcPr>
            <w:tcW w:w="1720" w:type="dxa"/>
            <w:tcBorders>
              <w:top w:val="nil"/>
              <w:left w:val="nil"/>
              <w:bottom w:val="single" w:sz="4" w:space="0" w:color="auto"/>
              <w:right w:val="single" w:sz="4" w:space="0" w:color="auto"/>
            </w:tcBorders>
            <w:shd w:val="clear" w:color="auto" w:fill="auto"/>
            <w:vAlign w:val="center"/>
            <w:hideMark/>
          </w:tcPr>
          <w:p w14:paraId="64C5AD0D" w14:textId="77777777" w:rsidR="001B1668" w:rsidRPr="00CA34F5" w:rsidRDefault="001B1668" w:rsidP="001B1668">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 </w:t>
            </w:r>
          </w:p>
        </w:tc>
      </w:tr>
      <w:tr w:rsidR="001B1668" w:rsidRPr="00CA34F5" w14:paraId="6A235224" w14:textId="77777777" w:rsidTr="006070C7">
        <w:trPr>
          <w:trHeight w:val="57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81F4FCC" w14:textId="42C18D20" w:rsidR="001B1668" w:rsidRPr="00CA34F5" w:rsidRDefault="003C2B85" w:rsidP="001B166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2.3</w:t>
            </w:r>
            <w:r w:rsidR="001B1668" w:rsidRPr="00CA34F5">
              <w:rPr>
                <w:rFonts w:ascii="Arial" w:eastAsia="Times New Roman" w:hAnsi="Arial" w:cs="Arial"/>
                <w:color w:val="000000"/>
                <w:lang w:eastAsia="es-MX"/>
              </w:rPr>
              <w:t xml:space="preserve"> </w:t>
            </w:r>
          </w:p>
        </w:tc>
        <w:tc>
          <w:tcPr>
            <w:tcW w:w="6420" w:type="dxa"/>
            <w:tcBorders>
              <w:top w:val="nil"/>
              <w:left w:val="nil"/>
              <w:bottom w:val="single" w:sz="4" w:space="0" w:color="auto"/>
              <w:right w:val="single" w:sz="4" w:space="0" w:color="auto"/>
            </w:tcBorders>
            <w:shd w:val="clear" w:color="auto" w:fill="auto"/>
            <w:vAlign w:val="center"/>
            <w:hideMark/>
          </w:tcPr>
          <w:p w14:paraId="74452FCE" w14:textId="77777777" w:rsidR="001B1668" w:rsidRPr="00CA34F5" w:rsidRDefault="001B1668" w:rsidP="001B1668">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 xml:space="preserve"> Disminución del Exceso de Estimaciones por Pérdida o Deterioro u Obsolescencia </w:t>
            </w:r>
          </w:p>
        </w:tc>
        <w:tc>
          <w:tcPr>
            <w:tcW w:w="1720" w:type="dxa"/>
            <w:tcBorders>
              <w:top w:val="nil"/>
              <w:left w:val="nil"/>
              <w:bottom w:val="single" w:sz="4" w:space="0" w:color="auto"/>
              <w:right w:val="single" w:sz="4" w:space="0" w:color="auto"/>
            </w:tcBorders>
            <w:shd w:val="clear" w:color="auto" w:fill="auto"/>
            <w:vAlign w:val="center"/>
            <w:hideMark/>
          </w:tcPr>
          <w:p w14:paraId="1D47E4DA" w14:textId="77777777" w:rsidR="001B1668" w:rsidRPr="00CA34F5" w:rsidRDefault="001B1668" w:rsidP="001B1668">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 </w:t>
            </w:r>
          </w:p>
        </w:tc>
      </w:tr>
      <w:tr w:rsidR="001B1668" w:rsidRPr="00CA34F5" w14:paraId="1BD5381A" w14:textId="77777777" w:rsidTr="006070C7">
        <w:trPr>
          <w:trHeight w:val="28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8130BD6" w14:textId="12DF5858" w:rsidR="001B1668" w:rsidRPr="00CA34F5" w:rsidRDefault="003C2B85" w:rsidP="001B166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2.4</w:t>
            </w:r>
          </w:p>
        </w:tc>
        <w:tc>
          <w:tcPr>
            <w:tcW w:w="6420" w:type="dxa"/>
            <w:tcBorders>
              <w:top w:val="nil"/>
              <w:left w:val="nil"/>
              <w:bottom w:val="single" w:sz="4" w:space="0" w:color="auto"/>
              <w:right w:val="single" w:sz="4" w:space="0" w:color="auto"/>
            </w:tcBorders>
            <w:shd w:val="clear" w:color="auto" w:fill="auto"/>
            <w:vAlign w:val="center"/>
            <w:hideMark/>
          </w:tcPr>
          <w:p w14:paraId="3DBA0C00" w14:textId="77777777" w:rsidR="001B1668" w:rsidRPr="00CA34F5" w:rsidRDefault="001B1668" w:rsidP="001B1668">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 xml:space="preserve"> Disminución del Exceso de Provisiones </w:t>
            </w:r>
          </w:p>
        </w:tc>
        <w:tc>
          <w:tcPr>
            <w:tcW w:w="1720" w:type="dxa"/>
            <w:tcBorders>
              <w:top w:val="nil"/>
              <w:left w:val="nil"/>
              <w:bottom w:val="single" w:sz="4" w:space="0" w:color="auto"/>
              <w:right w:val="single" w:sz="4" w:space="0" w:color="auto"/>
            </w:tcBorders>
            <w:shd w:val="clear" w:color="auto" w:fill="auto"/>
            <w:vAlign w:val="center"/>
            <w:hideMark/>
          </w:tcPr>
          <w:p w14:paraId="256B2E20" w14:textId="77777777" w:rsidR="001B1668" w:rsidRPr="00CA34F5" w:rsidRDefault="001B1668" w:rsidP="001B1668">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 </w:t>
            </w:r>
          </w:p>
        </w:tc>
      </w:tr>
      <w:tr w:rsidR="001B1668" w:rsidRPr="00CA34F5" w14:paraId="4B23C5AF" w14:textId="77777777" w:rsidTr="006070C7">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DD5F2F1" w14:textId="28045C2A" w:rsidR="001B1668" w:rsidRPr="00CA34F5" w:rsidRDefault="003C2B85" w:rsidP="001B166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2.5</w:t>
            </w:r>
          </w:p>
        </w:tc>
        <w:tc>
          <w:tcPr>
            <w:tcW w:w="6420" w:type="dxa"/>
            <w:tcBorders>
              <w:top w:val="nil"/>
              <w:left w:val="nil"/>
              <w:bottom w:val="single" w:sz="4" w:space="0" w:color="auto"/>
              <w:right w:val="single" w:sz="4" w:space="0" w:color="auto"/>
            </w:tcBorders>
            <w:shd w:val="clear" w:color="auto" w:fill="auto"/>
            <w:vAlign w:val="center"/>
            <w:hideMark/>
          </w:tcPr>
          <w:p w14:paraId="73D5FBE9" w14:textId="77777777" w:rsidR="001B1668" w:rsidRPr="00CA34F5" w:rsidRDefault="001B1668" w:rsidP="001B1668">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 xml:space="preserve"> Otros Ingresos y Beneficios Varios </w:t>
            </w:r>
          </w:p>
        </w:tc>
        <w:tc>
          <w:tcPr>
            <w:tcW w:w="1720" w:type="dxa"/>
            <w:tcBorders>
              <w:top w:val="nil"/>
              <w:left w:val="nil"/>
              <w:bottom w:val="single" w:sz="4" w:space="0" w:color="auto"/>
              <w:right w:val="single" w:sz="4" w:space="0" w:color="auto"/>
            </w:tcBorders>
            <w:shd w:val="clear" w:color="auto" w:fill="auto"/>
            <w:vAlign w:val="center"/>
            <w:hideMark/>
          </w:tcPr>
          <w:p w14:paraId="732E1D37" w14:textId="77777777" w:rsidR="001B1668" w:rsidRPr="00CA34F5" w:rsidRDefault="001B1668" w:rsidP="001B1668">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 </w:t>
            </w:r>
          </w:p>
        </w:tc>
      </w:tr>
      <w:tr w:rsidR="001B1668" w:rsidRPr="00CA34F5" w14:paraId="41C951E4" w14:textId="77777777" w:rsidTr="006070C7">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663AA69" w14:textId="1011DB4D" w:rsidR="001B1668" w:rsidRPr="00CA34F5" w:rsidRDefault="003C2B85" w:rsidP="001B166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2.6</w:t>
            </w:r>
            <w:r w:rsidR="001B1668" w:rsidRPr="00CA34F5">
              <w:rPr>
                <w:rFonts w:ascii="Arial" w:eastAsia="Times New Roman" w:hAnsi="Arial" w:cs="Arial"/>
                <w:color w:val="000000"/>
                <w:lang w:eastAsia="es-MX"/>
              </w:rPr>
              <w:t xml:space="preserve"> </w:t>
            </w:r>
          </w:p>
        </w:tc>
        <w:tc>
          <w:tcPr>
            <w:tcW w:w="6420" w:type="dxa"/>
            <w:tcBorders>
              <w:top w:val="nil"/>
              <w:left w:val="nil"/>
              <w:bottom w:val="single" w:sz="4" w:space="0" w:color="auto"/>
              <w:right w:val="single" w:sz="4" w:space="0" w:color="auto"/>
            </w:tcBorders>
            <w:shd w:val="clear" w:color="auto" w:fill="auto"/>
            <w:vAlign w:val="center"/>
            <w:hideMark/>
          </w:tcPr>
          <w:p w14:paraId="288D3DD6" w14:textId="77777777" w:rsidR="001B1668" w:rsidRPr="00CA34F5" w:rsidRDefault="001B1668" w:rsidP="001B1668">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 xml:space="preserve"> Otros Ingresos Contables No Presupuestarios </w:t>
            </w:r>
          </w:p>
        </w:tc>
        <w:tc>
          <w:tcPr>
            <w:tcW w:w="1720" w:type="dxa"/>
            <w:tcBorders>
              <w:top w:val="nil"/>
              <w:left w:val="nil"/>
              <w:bottom w:val="single" w:sz="4" w:space="0" w:color="auto"/>
              <w:right w:val="single" w:sz="4" w:space="0" w:color="auto"/>
            </w:tcBorders>
            <w:shd w:val="clear" w:color="auto" w:fill="auto"/>
            <w:noWrap/>
            <w:vAlign w:val="bottom"/>
            <w:hideMark/>
          </w:tcPr>
          <w:p w14:paraId="4D89FD5A" w14:textId="77777777" w:rsidR="001B1668" w:rsidRPr="00CA34F5" w:rsidRDefault="001B1668" w:rsidP="001B1668">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 xml:space="preserve">                      83 </w:t>
            </w:r>
          </w:p>
        </w:tc>
      </w:tr>
      <w:tr w:rsidR="001B1668" w:rsidRPr="00CA34F5" w14:paraId="4AB242F4" w14:textId="77777777" w:rsidTr="006070C7">
        <w:trPr>
          <w:trHeight w:val="840"/>
          <w:jc w:val="center"/>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577CC1" w14:textId="77777777" w:rsidR="001B1668" w:rsidRPr="00CA34F5" w:rsidRDefault="001B1668" w:rsidP="001B1668">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1720" w:type="dxa"/>
            <w:tcBorders>
              <w:top w:val="nil"/>
              <w:left w:val="nil"/>
              <w:bottom w:val="single" w:sz="4" w:space="0" w:color="auto"/>
              <w:right w:val="single" w:sz="4" w:space="0" w:color="auto"/>
            </w:tcBorders>
            <w:shd w:val="clear" w:color="auto" w:fill="auto"/>
            <w:vAlign w:val="center"/>
            <w:hideMark/>
          </w:tcPr>
          <w:p w14:paraId="2E59EBA7" w14:textId="77777777" w:rsidR="001B1668" w:rsidRPr="00CA34F5" w:rsidRDefault="001B1668" w:rsidP="001B1668">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 </w:t>
            </w:r>
          </w:p>
        </w:tc>
      </w:tr>
      <w:tr w:rsidR="001B1668" w:rsidRPr="00CA34F5" w14:paraId="15227278" w14:textId="77777777" w:rsidTr="006070C7">
        <w:trPr>
          <w:trHeight w:val="300"/>
          <w:jc w:val="center"/>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BF69F3" w14:textId="77777777" w:rsidR="001B1668" w:rsidRPr="00CA34F5" w:rsidRDefault="001B1668" w:rsidP="001B1668">
            <w:pPr>
              <w:spacing w:after="0" w:line="240" w:lineRule="auto"/>
              <w:jc w:val="both"/>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 3. Menos Ingresos Presupuestarios No Contables </w:t>
            </w:r>
          </w:p>
        </w:tc>
        <w:tc>
          <w:tcPr>
            <w:tcW w:w="1720" w:type="dxa"/>
            <w:tcBorders>
              <w:top w:val="nil"/>
              <w:left w:val="nil"/>
              <w:bottom w:val="single" w:sz="4" w:space="0" w:color="auto"/>
              <w:right w:val="single" w:sz="4" w:space="0" w:color="auto"/>
            </w:tcBorders>
            <w:shd w:val="clear" w:color="auto" w:fill="auto"/>
            <w:vAlign w:val="center"/>
            <w:hideMark/>
          </w:tcPr>
          <w:p w14:paraId="51506AEA" w14:textId="2ADF663F" w:rsidR="001B1668" w:rsidRPr="00CA34F5" w:rsidRDefault="001B1668" w:rsidP="001A5BBB">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4,260,942,580</w:t>
            </w:r>
          </w:p>
        </w:tc>
      </w:tr>
      <w:tr w:rsidR="001B1668" w:rsidRPr="00CA34F5" w14:paraId="0BF99389" w14:textId="77777777" w:rsidTr="006070C7">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58E28CD" w14:textId="3D608CF1" w:rsidR="001B1668" w:rsidRPr="00CA34F5" w:rsidRDefault="003C2B85" w:rsidP="001B166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3.1</w:t>
            </w:r>
          </w:p>
        </w:tc>
        <w:tc>
          <w:tcPr>
            <w:tcW w:w="6420" w:type="dxa"/>
            <w:tcBorders>
              <w:top w:val="nil"/>
              <w:left w:val="nil"/>
              <w:bottom w:val="single" w:sz="4" w:space="0" w:color="auto"/>
              <w:right w:val="single" w:sz="4" w:space="0" w:color="auto"/>
            </w:tcBorders>
            <w:shd w:val="clear" w:color="auto" w:fill="auto"/>
            <w:vAlign w:val="center"/>
            <w:hideMark/>
          </w:tcPr>
          <w:p w14:paraId="19C03E0E" w14:textId="77777777" w:rsidR="001B1668" w:rsidRPr="00CA34F5" w:rsidRDefault="001B1668" w:rsidP="001B1668">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 xml:space="preserve"> Aprovechamientos Patrimoniales </w:t>
            </w:r>
          </w:p>
        </w:tc>
        <w:tc>
          <w:tcPr>
            <w:tcW w:w="1720" w:type="dxa"/>
            <w:tcBorders>
              <w:top w:val="nil"/>
              <w:left w:val="nil"/>
              <w:bottom w:val="single" w:sz="4" w:space="0" w:color="auto"/>
              <w:right w:val="single" w:sz="4" w:space="0" w:color="auto"/>
            </w:tcBorders>
            <w:shd w:val="clear" w:color="auto" w:fill="auto"/>
            <w:vAlign w:val="center"/>
            <w:hideMark/>
          </w:tcPr>
          <w:p w14:paraId="7F19630B" w14:textId="77777777" w:rsidR="001B1668" w:rsidRPr="00CA34F5" w:rsidRDefault="001B1668" w:rsidP="001B1668">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 </w:t>
            </w:r>
          </w:p>
        </w:tc>
      </w:tr>
      <w:tr w:rsidR="001B1668" w:rsidRPr="00CA34F5" w14:paraId="0CC94F9B" w14:textId="77777777" w:rsidTr="006070C7">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09DB009" w14:textId="2C159C60" w:rsidR="001B1668" w:rsidRPr="00CA34F5" w:rsidRDefault="003C2B85" w:rsidP="001B166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3.2</w:t>
            </w:r>
            <w:r w:rsidR="001B1668" w:rsidRPr="00CA34F5">
              <w:rPr>
                <w:rFonts w:ascii="Arial" w:eastAsia="Times New Roman" w:hAnsi="Arial" w:cs="Arial"/>
                <w:color w:val="000000"/>
                <w:lang w:eastAsia="es-MX"/>
              </w:rPr>
              <w:t xml:space="preserve"> </w:t>
            </w:r>
          </w:p>
        </w:tc>
        <w:tc>
          <w:tcPr>
            <w:tcW w:w="6420" w:type="dxa"/>
            <w:tcBorders>
              <w:top w:val="nil"/>
              <w:left w:val="nil"/>
              <w:bottom w:val="single" w:sz="4" w:space="0" w:color="auto"/>
              <w:right w:val="single" w:sz="4" w:space="0" w:color="auto"/>
            </w:tcBorders>
            <w:shd w:val="clear" w:color="auto" w:fill="auto"/>
            <w:vAlign w:val="center"/>
            <w:hideMark/>
          </w:tcPr>
          <w:p w14:paraId="3C7704C3" w14:textId="77777777" w:rsidR="001B1668" w:rsidRPr="00CA34F5" w:rsidRDefault="001B1668" w:rsidP="001B1668">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 xml:space="preserve"> Ingresos Derivados de Financiamientos </w:t>
            </w:r>
          </w:p>
        </w:tc>
        <w:tc>
          <w:tcPr>
            <w:tcW w:w="1720" w:type="dxa"/>
            <w:tcBorders>
              <w:top w:val="nil"/>
              <w:left w:val="nil"/>
              <w:bottom w:val="single" w:sz="4" w:space="0" w:color="auto"/>
              <w:right w:val="single" w:sz="4" w:space="0" w:color="auto"/>
            </w:tcBorders>
            <w:shd w:val="clear" w:color="auto" w:fill="auto"/>
            <w:vAlign w:val="center"/>
            <w:hideMark/>
          </w:tcPr>
          <w:p w14:paraId="3CFE8F39" w14:textId="1B425580" w:rsidR="001B1668" w:rsidRPr="00CA34F5" w:rsidRDefault="001B1668" w:rsidP="0049025F">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 </w:t>
            </w:r>
            <w:r w:rsidR="0049025F" w:rsidRPr="00CA34F5">
              <w:rPr>
                <w:rFonts w:ascii="Arial" w:eastAsia="Times New Roman" w:hAnsi="Arial" w:cs="Arial"/>
                <w:color w:val="000000"/>
                <w:lang w:eastAsia="es-MX"/>
              </w:rPr>
              <w:t>4,260,942,580</w:t>
            </w:r>
          </w:p>
        </w:tc>
      </w:tr>
      <w:tr w:rsidR="001B1668" w:rsidRPr="00CA34F5" w14:paraId="2BD4EEE2" w14:textId="77777777" w:rsidTr="006070C7">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1FFB53E" w14:textId="6EFCA0FE" w:rsidR="001B1668" w:rsidRPr="00CA34F5" w:rsidRDefault="003C2B85" w:rsidP="001B166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3.3</w:t>
            </w:r>
            <w:r w:rsidR="001B1668" w:rsidRPr="00CA34F5">
              <w:rPr>
                <w:rFonts w:ascii="Arial" w:eastAsia="Times New Roman" w:hAnsi="Arial" w:cs="Arial"/>
                <w:color w:val="000000"/>
                <w:lang w:eastAsia="es-MX"/>
              </w:rPr>
              <w:t xml:space="preserve"> </w:t>
            </w:r>
          </w:p>
        </w:tc>
        <w:tc>
          <w:tcPr>
            <w:tcW w:w="6420" w:type="dxa"/>
            <w:tcBorders>
              <w:top w:val="nil"/>
              <w:left w:val="nil"/>
              <w:bottom w:val="single" w:sz="4" w:space="0" w:color="auto"/>
              <w:right w:val="single" w:sz="4" w:space="0" w:color="auto"/>
            </w:tcBorders>
            <w:shd w:val="clear" w:color="auto" w:fill="auto"/>
            <w:vAlign w:val="center"/>
            <w:hideMark/>
          </w:tcPr>
          <w:p w14:paraId="69D8CD62" w14:textId="77777777" w:rsidR="001B1668" w:rsidRPr="00CA34F5" w:rsidRDefault="001B1668" w:rsidP="001B1668">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 xml:space="preserve"> Otros Ingresos Presupuestarios No Contables </w:t>
            </w:r>
          </w:p>
        </w:tc>
        <w:tc>
          <w:tcPr>
            <w:tcW w:w="1720" w:type="dxa"/>
            <w:tcBorders>
              <w:top w:val="nil"/>
              <w:left w:val="nil"/>
              <w:bottom w:val="single" w:sz="4" w:space="0" w:color="auto"/>
              <w:right w:val="single" w:sz="4" w:space="0" w:color="auto"/>
            </w:tcBorders>
            <w:shd w:val="clear" w:color="auto" w:fill="auto"/>
            <w:vAlign w:val="center"/>
            <w:hideMark/>
          </w:tcPr>
          <w:p w14:paraId="3D4C1BD7" w14:textId="17AB21F4" w:rsidR="001B1668" w:rsidRPr="00CA34F5" w:rsidRDefault="001B1668" w:rsidP="001A5BBB">
            <w:pPr>
              <w:spacing w:after="0" w:line="240" w:lineRule="auto"/>
              <w:jc w:val="right"/>
              <w:rPr>
                <w:rFonts w:ascii="Arial" w:eastAsia="Times New Roman" w:hAnsi="Arial" w:cs="Arial"/>
                <w:color w:val="000000"/>
                <w:lang w:eastAsia="es-MX"/>
              </w:rPr>
            </w:pPr>
          </w:p>
        </w:tc>
      </w:tr>
      <w:tr w:rsidR="001B1668" w:rsidRPr="00CA34F5" w14:paraId="25FAF60B" w14:textId="77777777" w:rsidTr="006070C7">
        <w:trPr>
          <w:trHeight w:val="300"/>
          <w:jc w:val="center"/>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DD1D89" w14:textId="77777777" w:rsidR="001B1668" w:rsidRPr="00CA34F5" w:rsidRDefault="001B1668" w:rsidP="001B1668">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1720" w:type="dxa"/>
            <w:tcBorders>
              <w:top w:val="nil"/>
              <w:left w:val="nil"/>
              <w:bottom w:val="single" w:sz="4" w:space="0" w:color="auto"/>
              <w:right w:val="single" w:sz="4" w:space="0" w:color="auto"/>
            </w:tcBorders>
            <w:shd w:val="clear" w:color="auto" w:fill="auto"/>
            <w:vAlign w:val="center"/>
            <w:hideMark/>
          </w:tcPr>
          <w:p w14:paraId="17C2C48C" w14:textId="77777777" w:rsidR="001B1668" w:rsidRPr="00CA34F5" w:rsidRDefault="001B1668" w:rsidP="001B1668">
            <w:pPr>
              <w:spacing w:after="0" w:line="240" w:lineRule="auto"/>
              <w:rPr>
                <w:rFonts w:ascii="Arial" w:eastAsia="Times New Roman" w:hAnsi="Arial" w:cs="Arial"/>
                <w:color w:val="000000"/>
                <w:lang w:eastAsia="es-MX"/>
              </w:rPr>
            </w:pPr>
            <w:r w:rsidRPr="00CA34F5">
              <w:rPr>
                <w:rFonts w:ascii="Arial" w:eastAsia="Times New Roman" w:hAnsi="Arial" w:cs="Arial"/>
                <w:color w:val="000000"/>
                <w:lang w:eastAsia="es-MX"/>
              </w:rPr>
              <w:t> </w:t>
            </w:r>
          </w:p>
        </w:tc>
      </w:tr>
      <w:tr w:rsidR="001B1668" w:rsidRPr="00CA34F5" w14:paraId="0D2F3C9C" w14:textId="77777777" w:rsidTr="006070C7">
        <w:trPr>
          <w:trHeight w:val="300"/>
          <w:jc w:val="center"/>
        </w:trPr>
        <w:tc>
          <w:tcPr>
            <w:tcW w:w="7100" w:type="dxa"/>
            <w:gridSpan w:val="2"/>
            <w:tcBorders>
              <w:top w:val="nil"/>
              <w:left w:val="single" w:sz="8" w:space="0" w:color="auto"/>
              <w:bottom w:val="single" w:sz="8" w:space="0" w:color="auto"/>
              <w:right w:val="single" w:sz="8" w:space="0" w:color="000000"/>
            </w:tcBorders>
            <w:shd w:val="clear" w:color="000000" w:fill="C0C0C0"/>
            <w:vAlign w:val="center"/>
            <w:hideMark/>
          </w:tcPr>
          <w:p w14:paraId="27BDCCE7" w14:textId="77777777" w:rsidR="001B1668" w:rsidRPr="00CA34F5" w:rsidRDefault="001B1668" w:rsidP="001B1668">
            <w:pPr>
              <w:spacing w:after="0" w:line="240" w:lineRule="auto"/>
              <w:jc w:val="both"/>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 4. Total de Ingresos Contables </w:t>
            </w:r>
          </w:p>
        </w:tc>
        <w:tc>
          <w:tcPr>
            <w:tcW w:w="1720" w:type="dxa"/>
            <w:tcBorders>
              <w:top w:val="nil"/>
              <w:left w:val="nil"/>
              <w:bottom w:val="single" w:sz="8" w:space="0" w:color="auto"/>
              <w:right w:val="single" w:sz="8" w:space="0" w:color="auto"/>
            </w:tcBorders>
            <w:shd w:val="clear" w:color="000000" w:fill="BFBFBF"/>
            <w:vAlign w:val="center"/>
            <w:hideMark/>
          </w:tcPr>
          <w:p w14:paraId="376A89A4" w14:textId="2EE91E10" w:rsidR="001B1668" w:rsidRPr="00CA34F5" w:rsidRDefault="001B1668" w:rsidP="001A5BBB">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57,342,821,534 </w:t>
            </w:r>
          </w:p>
        </w:tc>
      </w:tr>
    </w:tbl>
    <w:p w14:paraId="7932C5B5" w14:textId="7D1F55AF" w:rsidR="001B1668" w:rsidRPr="00CA34F5" w:rsidRDefault="00FF196D" w:rsidP="000A4C31">
      <w:pPr>
        <w:spacing w:before="240" w:after="0" w:line="240" w:lineRule="auto"/>
        <w:jc w:val="both"/>
        <w:rPr>
          <w:rFonts w:ascii="Arial" w:eastAsia="Calibri" w:hAnsi="Arial" w:cs="Arial"/>
        </w:rPr>
      </w:pPr>
      <w:r w:rsidRPr="00CA34F5">
        <w:rPr>
          <w:rFonts w:ascii="Arial" w:eastAsia="Calibri" w:hAnsi="Arial" w:cs="Arial"/>
        </w:rPr>
        <w:t xml:space="preserve">                                Ingresos Presupuestarios no Contables</w:t>
      </w:r>
      <w:r w:rsidR="0052759D">
        <w:rPr>
          <w:rFonts w:ascii="Arial" w:eastAsia="Calibri" w:hAnsi="Arial" w:cs="Arial"/>
        </w:rPr>
        <w:t xml:space="preserve"> punto 3.</w:t>
      </w:r>
      <w:r w:rsidR="0049025F">
        <w:rPr>
          <w:rFonts w:ascii="Arial" w:eastAsia="Calibri" w:hAnsi="Arial" w:cs="Arial"/>
        </w:rPr>
        <w:t>2</w:t>
      </w:r>
      <w:r w:rsidR="008156CF">
        <w:rPr>
          <w:rFonts w:ascii="Arial" w:eastAsia="Calibri" w:hAnsi="Arial" w:cs="Arial"/>
        </w:rPr>
        <w:t xml:space="preserve"> se deba a</w:t>
      </w:r>
      <w:r w:rsidRPr="00CA34F5">
        <w:rPr>
          <w:rFonts w:ascii="Arial" w:eastAsia="Calibri" w:hAnsi="Arial" w:cs="Arial"/>
        </w:rPr>
        <w:t xml:space="preserve"> Ingresos derivados de financiamiento</w:t>
      </w:r>
    </w:p>
    <w:p w14:paraId="380F3468" w14:textId="77777777" w:rsidR="00794BC3" w:rsidRPr="00CA34F5" w:rsidRDefault="00794BC3" w:rsidP="000A4C31">
      <w:pPr>
        <w:spacing w:after="0" w:line="240" w:lineRule="auto"/>
        <w:ind w:left="3261" w:right="474" w:hanging="2410"/>
        <w:jc w:val="both"/>
        <w:rPr>
          <w:rFonts w:ascii="Arial" w:hAnsi="Arial" w:cs="Arial"/>
        </w:rPr>
      </w:pPr>
    </w:p>
    <w:p w14:paraId="38A2EED9" w14:textId="77777777" w:rsidR="00D1198C" w:rsidRDefault="00D1198C" w:rsidP="000A4C31">
      <w:pPr>
        <w:spacing w:after="0" w:line="240" w:lineRule="auto"/>
        <w:ind w:left="3261" w:right="474" w:hanging="2410"/>
        <w:jc w:val="both"/>
        <w:rPr>
          <w:rFonts w:ascii="Arial" w:hAnsi="Arial" w:cs="Arial"/>
        </w:rPr>
      </w:pPr>
    </w:p>
    <w:p w14:paraId="4A631EE1" w14:textId="77777777" w:rsidR="00EC412C" w:rsidRDefault="00EC412C" w:rsidP="000A4C31">
      <w:pPr>
        <w:spacing w:after="0" w:line="240" w:lineRule="auto"/>
        <w:ind w:left="3261" w:right="474" w:hanging="2410"/>
        <w:jc w:val="both"/>
        <w:rPr>
          <w:rFonts w:ascii="Arial" w:hAnsi="Arial" w:cs="Arial"/>
        </w:rPr>
      </w:pPr>
    </w:p>
    <w:p w14:paraId="0A03EC82" w14:textId="77777777" w:rsidR="00267429" w:rsidRDefault="00267429" w:rsidP="000A4C31">
      <w:pPr>
        <w:spacing w:after="0" w:line="240" w:lineRule="auto"/>
        <w:ind w:left="3261" w:right="474" w:hanging="2410"/>
        <w:jc w:val="both"/>
        <w:rPr>
          <w:rFonts w:ascii="Arial" w:hAnsi="Arial" w:cs="Arial"/>
        </w:rPr>
      </w:pPr>
    </w:p>
    <w:p w14:paraId="57A47A93" w14:textId="77777777" w:rsidR="00EC412C" w:rsidRDefault="00EC412C" w:rsidP="000A4C31">
      <w:pPr>
        <w:spacing w:after="0" w:line="240" w:lineRule="auto"/>
        <w:ind w:left="3261" w:right="474" w:hanging="2410"/>
        <w:jc w:val="both"/>
        <w:rPr>
          <w:rFonts w:ascii="Arial" w:hAnsi="Arial" w:cs="Arial"/>
        </w:rPr>
      </w:pPr>
    </w:p>
    <w:p w14:paraId="5BFF3543" w14:textId="77777777" w:rsidR="00EC412C" w:rsidRPr="00CA34F5" w:rsidRDefault="00EC412C" w:rsidP="000A4C31">
      <w:pPr>
        <w:spacing w:after="0" w:line="240" w:lineRule="auto"/>
        <w:ind w:left="3261" w:right="474" w:hanging="2410"/>
        <w:jc w:val="both"/>
        <w:rPr>
          <w:rFonts w:ascii="Arial" w:hAnsi="Arial" w:cs="Arial"/>
        </w:rPr>
      </w:pPr>
    </w:p>
    <w:p w14:paraId="3A5A4A08" w14:textId="77777777" w:rsidR="00794BC3" w:rsidRPr="00CA34F5" w:rsidRDefault="00794BC3" w:rsidP="000A4C31">
      <w:pPr>
        <w:spacing w:after="0" w:line="240" w:lineRule="auto"/>
        <w:ind w:left="3261" w:right="474" w:hanging="2410"/>
        <w:jc w:val="both"/>
        <w:rPr>
          <w:rFonts w:ascii="Arial" w:hAnsi="Arial" w:cs="Arial"/>
        </w:rPr>
      </w:pPr>
    </w:p>
    <w:tbl>
      <w:tblPr>
        <w:tblW w:w="9350" w:type="dxa"/>
        <w:jc w:val="center"/>
        <w:tblCellMar>
          <w:left w:w="70" w:type="dxa"/>
          <w:right w:w="70" w:type="dxa"/>
        </w:tblCellMar>
        <w:tblLook w:val="04A0" w:firstRow="1" w:lastRow="0" w:firstColumn="1" w:lastColumn="0" w:noHBand="0" w:noVBand="1"/>
      </w:tblPr>
      <w:tblGrid>
        <w:gridCol w:w="10"/>
        <w:gridCol w:w="680"/>
        <w:gridCol w:w="6840"/>
        <w:gridCol w:w="1810"/>
        <w:gridCol w:w="10"/>
      </w:tblGrid>
      <w:tr w:rsidR="00F21CC7" w:rsidRPr="00CA34F5" w14:paraId="3CE5A91A" w14:textId="77777777" w:rsidTr="006070C7">
        <w:trPr>
          <w:gridBefore w:val="1"/>
          <w:wBefore w:w="10" w:type="dxa"/>
          <w:trHeight w:val="319"/>
          <w:jc w:val="center"/>
        </w:trPr>
        <w:tc>
          <w:tcPr>
            <w:tcW w:w="9340" w:type="dxa"/>
            <w:gridSpan w:val="4"/>
            <w:tcBorders>
              <w:top w:val="single" w:sz="8" w:space="0" w:color="auto"/>
              <w:left w:val="single" w:sz="8" w:space="0" w:color="auto"/>
              <w:bottom w:val="nil"/>
              <w:right w:val="single" w:sz="8" w:space="0" w:color="000000"/>
            </w:tcBorders>
            <w:shd w:val="clear" w:color="000000" w:fill="C0C0C0"/>
            <w:noWrap/>
            <w:vAlign w:val="center"/>
            <w:hideMark/>
          </w:tcPr>
          <w:p w14:paraId="7989F76A" w14:textId="77777777" w:rsidR="00F21CC7" w:rsidRPr="00CA34F5" w:rsidRDefault="00F21CC7" w:rsidP="00F21CC7">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lastRenderedPageBreak/>
              <w:t xml:space="preserve">Nombre del Ente Público </w:t>
            </w:r>
          </w:p>
        </w:tc>
      </w:tr>
      <w:tr w:rsidR="00F21CC7" w:rsidRPr="00CA34F5" w14:paraId="5E287E06" w14:textId="77777777" w:rsidTr="006070C7">
        <w:trPr>
          <w:gridBefore w:val="1"/>
          <w:wBefore w:w="10" w:type="dxa"/>
          <w:trHeight w:val="319"/>
          <w:jc w:val="center"/>
        </w:trPr>
        <w:tc>
          <w:tcPr>
            <w:tcW w:w="9340" w:type="dxa"/>
            <w:gridSpan w:val="4"/>
            <w:tcBorders>
              <w:top w:val="nil"/>
              <w:left w:val="single" w:sz="8" w:space="0" w:color="auto"/>
              <w:bottom w:val="nil"/>
              <w:right w:val="single" w:sz="8" w:space="0" w:color="000000"/>
            </w:tcBorders>
            <w:shd w:val="clear" w:color="000000" w:fill="C0C0C0"/>
            <w:vAlign w:val="center"/>
            <w:hideMark/>
          </w:tcPr>
          <w:p w14:paraId="51950D35" w14:textId="77777777" w:rsidR="00F21CC7" w:rsidRPr="00CA34F5" w:rsidRDefault="00F21CC7" w:rsidP="00F21CC7">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 Conciliación entre los Egresos Presupuestarios y los Gastos Contables </w:t>
            </w:r>
          </w:p>
        </w:tc>
      </w:tr>
      <w:tr w:rsidR="00F21CC7" w:rsidRPr="00CA34F5" w14:paraId="4ECA7A93" w14:textId="77777777" w:rsidTr="006070C7">
        <w:trPr>
          <w:gridBefore w:val="1"/>
          <w:wBefore w:w="10" w:type="dxa"/>
          <w:trHeight w:val="319"/>
          <w:jc w:val="center"/>
        </w:trPr>
        <w:tc>
          <w:tcPr>
            <w:tcW w:w="9340" w:type="dxa"/>
            <w:gridSpan w:val="4"/>
            <w:tcBorders>
              <w:top w:val="nil"/>
              <w:left w:val="single" w:sz="8" w:space="0" w:color="auto"/>
              <w:bottom w:val="nil"/>
              <w:right w:val="single" w:sz="8" w:space="0" w:color="000000"/>
            </w:tcBorders>
            <w:shd w:val="clear" w:color="000000" w:fill="C0C0C0"/>
            <w:vAlign w:val="center"/>
            <w:hideMark/>
          </w:tcPr>
          <w:p w14:paraId="527788DD" w14:textId="77777777" w:rsidR="00F21CC7" w:rsidRPr="00CA34F5" w:rsidRDefault="00F21CC7" w:rsidP="00F21CC7">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 Correspondiente del 01 de enero al 31 de diciembre 2021 </w:t>
            </w:r>
          </w:p>
        </w:tc>
      </w:tr>
      <w:tr w:rsidR="00F21CC7" w:rsidRPr="00CA34F5" w14:paraId="02A9A968" w14:textId="77777777" w:rsidTr="006070C7">
        <w:trPr>
          <w:gridBefore w:val="1"/>
          <w:wBefore w:w="10" w:type="dxa"/>
          <w:trHeight w:val="319"/>
          <w:jc w:val="center"/>
        </w:trPr>
        <w:tc>
          <w:tcPr>
            <w:tcW w:w="9340" w:type="dxa"/>
            <w:gridSpan w:val="4"/>
            <w:tcBorders>
              <w:top w:val="nil"/>
              <w:left w:val="single" w:sz="8" w:space="0" w:color="auto"/>
              <w:bottom w:val="single" w:sz="8" w:space="0" w:color="auto"/>
              <w:right w:val="single" w:sz="8" w:space="0" w:color="000000"/>
            </w:tcBorders>
            <w:shd w:val="clear" w:color="000000" w:fill="C0C0C0"/>
            <w:vAlign w:val="center"/>
            <w:hideMark/>
          </w:tcPr>
          <w:p w14:paraId="48CD2FA5" w14:textId="77777777" w:rsidR="00F21CC7" w:rsidRPr="00CA34F5" w:rsidRDefault="00F21CC7" w:rsidP="00F21CC7">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 (Cifras en pesos) </w:t>
            </w:r>
          </w:p>
        </w:tc>
      </w:tr>
      <w:tr w:rsidR="00F21CC7" w:rsidRPr="00CA34F5" w14:paraId="3810CB9B" w14:textId="77777777" w:rsidTr="006070C7">
        <w:trPr>
          <w:gridBefore w:val="1"/>
          <w:wBefore w:w="10" w:type="dxa"/>
          <w:trHeight w:val="319"/>
          <w:jc w:val="center"/>
        </w:trPr>
        <w:tc>
          <w:tcPr>
            <w:tcW w:w="752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14:paraId="41D4B3CD" w14:textId="77777777" w:rsidR="00F21CC7" w:rsidRPr="00CA34F5" w:rsidRDefault="00F21CC7" w:rsidP="00F21CC7">
            <w:pPr>
              <w:spacing w:after="0" w:line="240" w:lineRule="auto"/>
              <w:jc w:val="both"/>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 1. Total de Egresos Presupuestarios </w:t>
            </w:r>
          </w:p>
        </w:tc>
        <w:tc>
          <w:tcPr>
            <w:tcW w:w="1820" w:type="dxa"/>
            <w:gridSpan w:val="2"/>
            <w:tcBorders>
              <w:top w:val="nil"/>
              <w:left w:val="nil"/>
              <w:bottom w:val="single" w:sz="8" w:space="0" w:color="auto"/>
              <w:right w:val="single" w:sz="8" w:space="0" w:color="auto"/>
            </w:tcBorders>
            <w:shd w:val="clear" w:color="000000" w:fill="BFBFBF"/>
            <w:vAlign w:val="center"/>
            <w:hideMark/>
          </w:tcPr>
          <w:p w14:paraId="1802A215" w14:textId="77777777" w:rsidR="00F21CC7" w:rsidRPr="00CA34F5" w:rsidRDefault="00F21CC7" w:rsidP="001A5BBB">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   62,611,433,993 </w:t>
            </w:r>
          </w:p>
        </w:tc>
      </w:tr>
      <w:tr w:rsidR="00F21CC7" w:rsidRPr="00CA34F5" w14:paraId="1429456F" w14:textId="77777777" w:rsidTr="006070C7">
        <w:trPr>
          <w:gridBefore w:val="1"/>
          <w:wBefore w:w="10" w:type="dxa"/>
          <w:trHeight w:val="319"/>
          <w:jc w:val="center"/>
        </w:trPr>
        <w:tc>
          <w:tcPr>
            <w:tcW w:w="7520" w:type="dxa"/>
            <w:gridSpan w:val="2"/>
            <w:tcBorders>
              <w:top w:val="single" w:sz="8" w:space="0" w:color="auto"/>
              <w:left w:val="nil"/>
              <w:bottom w:val="nil"/>
              <w:right w:val="nil"/>
            </w:tcBorders>
            <w:shd w:val="clear" w:color="auto" w:fill="auto"/>
            <w:vAlign w:val="center"/>
            <w:hideMark/>
          </w:tcPr>
          <w:p w14:paraId="775FDA30" w14:textId="77777777" w:rsidR="00F21CC7" w:rsidRPr="00CA34F5" w:rsidRDefault="00F21CC7" w:rsidP="00F21CC7">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1820" w:type="dxa"/>
            <w:gridSpan w:val="2"/>
            <w:tcBorders>
              <w:top w:val="nil"/>
              <w:left w:val="nil"/>
              <w:bottom w:val="nil"/>
              <w:right w:val="nil"/>
            </w:tcBorders>
            <w:shd w:val="clear" w:color="auto" w:fill="auto"/>
            <w:vAlign w:val="center"/>
            <w:hideMark/>
          </w:tcPr>
          <w:p w14:paraId="33425E52" w14:textId="77777777" w:rsidR="00F21CC7" w:rsidRPr="00CA34F5" w:rsidRDefault="00F21CC7" w:rsidP="00F21CC7">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 </w:t>
            </w:r>
          </w:p>
        </w:tc>
      </w:tr>
      <w:tr w:rsidR="00F21CC7" w:rsidRPr="00CA34F5" w14:paraId="7F82E863" w14:textId="77777777" w:rsidTr="006070C7">
        <w:trPr>
          <w:gridBefore w:val="1"/>
          <w:wBefore w:w="10" w:type="dxa"/>
          <w:trHeight w:val="319"/>
          <w:jc w:val="center"/>
        </w:trPr>
        <w:tc>
          <w:tcPr>
            <w:tcW w:w="752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0E597E68" w14:textId="77777777" w:rsidR="00F21CC7" w:rsidRPr="00CA34F5" w:rsidRDefault="00F21CC7" w:rsidP="00F21CC7">
            <w:pPr>
              <w:spacing w:after="0" w:line="240" w:lineRule="auto"/>
              <w:jc w:val="both"/>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 2. Menos Egresos Presupuestarios No Contables </w:t>
            </w:r>
          </w:p>
        </w:tc>
        <w:tc>
          <w:tcPr>
            <w:tcW w:w="1820" w:type="dxa"/>
            <w:gridSpan w:val="2"/>
            <w:tcBorders>
              <w:top w:val="single" w:sz="8" w:space="0" w:color="auto"/>
              <w:left w:val="nil"/>
              <w:bottom w:val="single" w:sz="8" w:space="0" w:color="auto"/>
              <w:right w:val="single" w:sz="8" w:space="0" w:color="auto"/>
            </w:tcBorders>
            <w:shd w:val="clear" w:color="auto" w:fill="auto"/>
            <w:vAlign w:val="center"/>
            <w:hideMark/>
          </w:tcPr>
          <w:p w14:paraId="1A530F69" w14:textId="77777777" w:rsidR="00F21CC7" w:rsidRPr="00CA34F5" w:rsidRDefault="00F21CC7" w:rsidP="001A5BBB">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 xml:space="preserve">     8,591,720,097 </w:t>
            </w:r>
          </w:p>
        </w:tc>
      </w:tr>
      <w:tr w:rsidR="00F21CC7" w:rsidRPr="00E67BE0" w14:paraId="5B647CF5" w14:textId="77777777" w:rsidTr="006070C7">
        <w:trPr>
          <w:gridBefore w:val="1"/>
          <w:wBefore w:w="10" w:type="dxa"/>
          <w:trHeight w:val="375"/>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5C1A1579" w14:textId="16BF3311" w:rsidR="00F21CC7" w:rsidRPr="00E67BE0" w:rsidRDefault="003C2B85"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2.1</w:t>
            </w:r>
            <w:r w:rsidR="00F21CC7" w:rsidRPr="00E67BE0">
              <w:rPr>
                <w:rFonts w:ascii="Arial" w:eastAsia="Times New Roman" w:hAnsi="Arial" w:cs="Arial"/>
                <w:color w:val="000000"/>
                <w:lang w:eastAsia="es-MX"/>
              </w:rPr>
              <w:t xml:space="preserve"> </w:t>
            </w:r>
          </w:p>
        </w:tc>
        <w:tc>
          <w:tcPr>
            <w:tcW w:w="6840" w:type="dxa"/>
            <w:tcBorders>
              <w:top w:val="nil"/>
              <w:left w:val="nil"/>
              <w:bottom w:val="single" w:sz="4" w:space="0" w:color="auto"/>
              <w:right w:val="single" w:sz="4" w:space="0" w:color="auto"/>
            </w:tcBorders>
            <w:shd w:val="clear" w:color="auto" w:fill="auto"/>
            <w:vAlign w:val="center"/>
            <w:hideMark/>
          </w:tcPr>
          <w:p w14:paraId="6FB6B85E"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Materias Primas y Materiales de Producción y Comercialización </w:t>
            </w:r>
          </w:p>
        </w:tc>
        <w:tc>
          <w:tcPr>
            <w:tcW w:w="1820" w:type="dxa"/>
            <w:gridSpan w:val="2"/>
            <w:tcBorders>
              <w:top w:val="nil"/>
              <w:left w:val="nil"/>
              <w:bottom w:val="single" w:sz="4" w:space="0" w:color="auto"/>
              <w:right w:val="single" w:sz="4" w:space="0" w:color="auto"/>
            </w:tcBorders>
            <w:shd w:val="clear" w:color="auto" w:fill="auto"/>
            <w:vAlign w:val="center"/>
            <w:hideMark/>
          </w:tcPr>
          <w:p w14:paraId="4FCBE030" w14:textId="77777777" w:rsidR="00F21CC7" w:rsidRPr="00E67BE0" w:rsidRDefault="00F21CC7" w:rsidP="001A5BBB">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 xml:space="preserve">               171,051 </w:t>
            </w:r>
          </w:p>
        </w:tc>
      </w:tr>
      <w:tr w:rsidR="00F21CC7" w:rsidRPr="00E67BE0" w14:paraId="751FFFBE" w14:textId="77777777" w:rsidTr="006070C7">
        <w:trPr>
          <w:gridBefore w:val="1"/>
          <w:wBefore w:w="10" w:type="dxa"/>
          <w:trHeight w:val="345"/>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391AB5F2" w14:textId="493693A5" w:rsidR="00F21CC7" w:rsidRPr="00E67BE0" w:rsidRDefault="003C2B85"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2.2</w:t>
            </w:r>
            <w:r w:rsidR="00F21CC7" w:rsidRPr="00E67BE0">
              <w:rPr>
                <w:rFonts w:ascii="Arial" w:eastAsia="Times New Roman" w:hAnsi="Arial" w:cs="Arial"/>
                <w:color w:val="000000"/>
                <w:lang w:eastAsia="es-MX"/>
              </w:rPr>
              <w:t xml:space="preserve"> </w:t>
            </w:r>
          </w:p>
        </w:tc>
        <w:tc>
          <w:tcPr>
            <w:tcW w:w="6840" w:type="dxa"/>
            <w:tcBorders>
              <w:top w:val="nil"/>
              <w:left w:val="nil"/>
              <w:bottom w:val="single" w:sz="4" w:space="0" w:color="auto"/>
              <w:right w:val="single" w:sz="4" w:space="0" w:color="auto"/>
            </w:tcBorders>
            <w:shd w:val="clear" w:color="auto" w:fill="auto"/>
            <w:vAlign w:val="center"/>
            <w:hideMark/>
          </w:tcPr>
          <w:p w14:paraId="50C2D0D1"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Materiales y Suministros </w:t>
            </w:r>
          </w:p>
        </w:tc>
        <w:tc>
          <w:tcPr>
            <w:tcW w:w="1820" w:type="dxa"/>
            <w:gridSpan w:val="2"/>
            <w:tcBorders>
              <w:top w:val="nil"/>
              <w:left w:val="nil"/>
              <w:bottom w:val="single" w:sz="4" w:space="0" w:color="auto"/>
              <w:right w:val="single" w:sz="4" w:space="0" w:color="auto"/>
            </w:tcBorders>
            <w:shd w:val="clear" w:color="auto" w:fill="auto"/>
            <w:vAlign w:val="center"/>
            <w:hideMark/>
          </w:tcPr>
          <w:p w14:paraId="5CD1BBD7" w14:textId="77777777" w:rsidR="00F21CC7" w:rsidRPr="00E67BE0" w:rsidRDefault="00F21CC7" w:rsidP="001A5BBB">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 xml:space="preserve">     1,138,361,388 </w:t>
            </w:r>
          </w:p>
        </w:tc>
      </w:tr>
      <w:tr w:rsidR="00F21CC7" w:rsidRPr="00E67BE0" w14:paraId="5995D04B" w14:textId="77777777" w:rsidTr="006070C7">
        <w:trPr>
          <w:gridBefore w:val="1"/>
          <w:wBefore w:w="10" w:type="dxa"/>
          <w:trHeight w:val="319"/>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67A317A7" w14:textId="7E516458" w:rsidR="00F21CC7" w:rsidRPr="00E67BE0" w:rsidRDefault="003C2B85"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2.3</w:t>
            </w:r>
            <w:r w:rsidR="00F21CC7" w:rsidRPr="00E67BE0">
              <w:rPr>
                <w:rFonts w:ascii="Arial" w:eastAsia="Times New Roman" w:hAnsi="Arial" w:cs="Arial"/>
                <w:color w:val="000000"/>
                <w:lang w:eastAsia="es-MX"/>
              </w:rPr>
              <w:t xml:space="preserve"> </w:t>
            </w:r>
          </w:p>
        </w:tc>
        <w:tc>
          <w:tcPr>
            <w:tcW w:w="6840" w:type="dxa"/>
            <w:tcBorders>
              <w:top w:val="nil"/>
              <w:left w:val="nil"/>
              <w:bottom w:val="single" w:sz="4" w:space="0" w:color="auto"/>
              <w:right w:val="single" w:sz="4" w:space="0" w:color="auto"/>
            </w:tcBorders>
            <w:shd w:val="clear" w:color="auto" w:fill="auto"/>
            <w:vAlign w:val="center"/>
            <w:hideMark/>
          </w:tcPr>
          <w:p w14:paraId="76CF56C7"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Mobiliario y Equipo de Administración </w:t>
            </w:r>
          </w:p>
        </w:tc>
        <w:tc>
          <w:tcPr>
            <w:tcW w:w="1820" w:type="dxa"/>
            <w:gridSpan w:val="2"/>
            <w:tcBorders>
              <w:top w:val="nil"/>
              <w:left w:val="nil"/>
              <w:bottom w:val="single" w:sz="4" w:space="0" w:color="auto"/>
              <w:right w:val="single" w:sz="4" w:space="0" w:color="auto"/>
            </w:tcBorders>
            <w:shd w:val="clear" w:color="auto" w:fill="auto"/>
            <w:vAlign w:val="center"/>
            <w:hideMark/>
          </w:tcPr>
          <w:p w14:paraId="0B410CD4" w14:textId="77777777" w:rsidR="00F21CC7" w:rsidRPr="00E67BE0" w:rsidRDefault="00F21CC7" w:rsidP="001A5BBB">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 xml:space="preserve">          91,196,344 </w:t>
            </w:r>
          </w:p>
        </w:tc>
      </w:tr>
      <w:tr w:rsidR="00F21CC7" w:rsidRPr="00E67BE0" w14:paraId="37B65EE7" w14:textId="77777777" w:rsidTr="006070C7">
        <w:trPr>
          <w:gridBefore w:val="1"/>
          <w:wBefore w:w="10" w:type="dxa"/>
          <w:trHeight w:val="319"/>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6364BEB0" w14:textId="356CF503" w:rsidR="00F21CC7" w:rsidRPr="00E67BE0" w:rsidRDefault="003C2B85"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2.4</w:t>
            </w:r>
            <w:r w:rsidR="00F21CC7" w:rsidRPr="00E67BE0">
              <w:rPr>
                <w:rFonts w:ascii="Arial" w:eastAsia="Times New Roman" w:hAnsi="Arial" w:cs="Arial"/>
                <w:color w:val="000000"/>
                <w:lang w:eastAsia="es-MX"/>
              </w:rPr>
              <w:t xml:space="preserve"> </w:t>
            </w:r>
          </w:p>
        </w:tc>
        <w:tc>
          <w:tcPr>
            <w:tcW w:w="6840" w:type="dxa"/>
            <w:tcBorders>
              <w:top w:val="nil"/>
              <w:left w:val="nil"/>
              <w:bottom w:val="single" w:sz="4" w:space="0" w:color="auto"/>
              <w:right w:val="single" w:sz="4" w:space="0" w:color="auto"/>
            </w:tcBorders>
            <w:shd w:val="clear" w:color="auto" w:fill="auto"/>
            <w:vAlign w:val="center"/>
            <w:hideMark/>
          </w:tcPr>
          <w:p w14:paraId="2AF43FEE"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Mobiliario y Equipo Educacional y Recreativo </w:t>
            </w:r>
          </w:p>
        </w:tc>
        <w:tc>
          <w:tcPr>
            <w:tcW w:w="1820" w:type="dxa"/>
            <w:gridSpan w:val="2"/>
            <w:tcBorders>
              <w:top w:val="nil"/>
              <w:left w:val="nil"/>
              <w:bottom w:val="single" w:sz="4" w:space="0" w:color="auto"/>
              <w:right w:val="single" w:sz="4" w:space="0" w:color="auto"/>
            </w:tcBorders>
            <w:shd w:val="clear" w:color="auto" w:fill="auto"/>
            <w:vAlign w:val="center"/>
            <w:hideMark/>
          </w:tcPr>
          <w:p w14:paraId="774546B4" w14:textId="77777777" w:rsidR="00F21CC7" w:rsidRPr="00E67BE0" w:rsidRDefault="00F21CC7" w:rsidP="001A5BBB">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 xml:space="preserve">          12,918,989 </w:t>
            </w:r>
          </w:p>
        </w:tc>
      </w:tr>
      <w:tr w:rsidR="00F21CC7" w:rsidRPr="00E67BE0" w14:paraId="0157C332" w14:textId="77777777" w:rsidTr="006070C7">
        <w:trPr>
          <w:gridBefore w:val="1"/>
          <w:wBefore w:w="10" w:type="dxa"/>
          <w:trHeight w:val="319"/>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6A6392F7" w14:textId="13E335DB" w:rsidR="00F21CC7" w:rsidRPr="00E67BE0" w:rsidRDefault="003C2B85"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2.5</w:t>
            </w:r>
            <w:r w:rsidR="00F21CC7" w:rsidRPr="00E67BE0">
              <w:rPr>
                <w:rFonts w:ascii="Arial" w:eastAsia="Times New Roman" w:hAnsi="Arial" w:cs="Arial"/>
                <w:color w:val="000000"/>
                <w:lang w:eastAsia="es-MX"/>
              </w:rPr>
              <w:t xml:space="preserve"> </w:t>
            </w:r>
          </w:p>
        </w:tc>
        <w:tc>
          <w:tcPr>
            <w:tcW w:w="6840" w:type="dxa"/>
            <w:tcBorders>
              <w:top w:val="nil"/>
              <w:left w:val="nil"/>
              <w:bottom w:val="single" w:sz="4" w:space="0" w:color="auto"/>
              <w:right w:val="single" w:sz="4" w:space="0" w:color="auto"/>
            </w:tcBorders>
            <w:shd w:val="clear" w:color="auto" w:fill="auto"/>
            <w:vAlign w:val="center"/>
            <w:hideMark/>
          </w:tcPr>
          <w:p w14:paraId="0909FFC6"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Equipo e Instrumental Médico y de Laboratorio </w:t>
            </w:r>
          </w:p>
        </w:tc>
        <w:tc>
          <w:tcPr>
            <w:tcW w:w="1820" w:type="dxa"/>
            <w:gridSpan w:val="2"/>
            <w:tcBorders>
              <w:top w:val="nil"/>
              <w:left w:val="nil"/>
              <w:bottom w:val="single" w:sz="4" w:space="0" w:color="auto"/>
              <w:right w:val="single" w:sz="4" w:space="0" w:color="auto"/>
            </w:tcBorders>
            <w:shd w:val="clear" w:color="auto" w:fill="auto"/>
            <w:vAlign w:val="center"/>
            <w:hideMark/>
          </w:tcPr>
          <w:p w14:paraId="5FA613F0" w14:textId="77777777" w:rsidR="00F21CC7" w:rsidRPr="00E67BE0" w:rsidRDefault="00F21CC7" w:rsidP="001A5BBB">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 xml:space="preserve">            9,226,224 </w:t>
            </w:r>
          </w:p>
        </w:tc>
      </w:tr>
      <w:tr w:rsidR="00F21CC7" w:rsidRPr="00E67BE0" w14:paraId="0DB2F395" w14:textId="77777777" w:rsidTr="006070C7">
        <w:trPr>
          <w:gridBefore w:val="1"/>
          <w:wBefore w:w="10" w:type="dxa"/>
          <w:trHeight w:val="319"/>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1EE802F3" w14:textId="23CF6DF3" w:rsidR="00F21CC7" w:rsidRPr="00E67BE0" w:rsidRDefault="003C2B85"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2.6</w:t>
            </w:r>
            <w:r w:rsidR="00F21CC7" w:rsidRPr="00E67BE0">
              <w:rPr>
                <w:rFonts w:ascii="Arial" w:eastAsia="Times New Roman" w:hAnsi="Arial" w:cs="Arial"/>
                <w:color w:val="000000"/>
                <w:lang w:eastAsia="es-MX"/>
              </w:rPr>
              <w:t xml:space="preserve"> </w:t>
            </w:r>
          </w:p>
        </w:tc>
        <w:tc>
          <w:tcPr>
            <w:tcW w:w="6840" w:type="dxa"/>
            <w:tcBorders>
              <w:top w:val="nil"/>
              <w:left w:val="nil"/>
              <w:bottom w:val="single" w:sz="4" w:space="0" w:color="auto"/>
              <w:right w:val="single" w:sz="4" w:space="0" w:color="auto"/>
            </w:tcBorders>
            <w:shd w:val="clear" w:color="auto" w:fill="auto"/>
            <w:vAlign w:val="center"/>
            <w:hideMark/>
          </w:tcPr>
          <w:p w14:paraId="45C5D714"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Vehículos y Equipo de Transporte </w:t>
            </w:r>
          </w:p>
        </w:tc>
        <w:tc>
          <w:tcPr>
            <w:tcW w:w="1820" w:type="dxa"/>
            <w:gridSpan w:val="2"/>
            <w:tcBorders>
              <w:top w:val="nil"/>
              <w:left w:val="nil"/>
              <w:bottom w:val="single" w:sz="4" w:space="0" w:color="auto"/>
              <w:right w:val="single" w:sz="4" w:space="0" w:color="auto"/>
            </w:tcBorders>
            <w:shd w:val="clear" w:color="auto" w:fill="auto"/>
            <w:vAlign w:val="center"/>
            <w:hideMark/>
          </w:tcPr>
          <w:p w14:paraId="51D90573" w14:textId="77777777" w:rsidR="00F21CC7" w:rsidRPr="00E67BE0" w:rsidRDefault="00F21CC7" w:rsidP="001A5BBB">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 xml:space="preserve">          42,651,044 </w:t>
            </w:r>
          </w:p>
        </w:tc>
      </w:tr>
      <w:tr w:rsidR="00F21CC7" w:rsidRPr="00E67BE0" w14:paraId="379DB287" w14:textId="77777777" w:rsidTr="006070C7">
        <w:trPr>
          <w:gridBefore w:val="1"/>
          <w:wBefore w:w="10" w:type="dxa"/>
          <w:trHeight w:val="319"/>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253756B3" w14:textId="5F92C302" w:rsidR="00F21CC7" w:rsidRPr="00E67BE0" w:rsidRDefault="003C2B85"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2.7</w:t>
            </w:r>
            <w:r w:rsidR="00F21CC7" w:rsidRPr="00E67BE0">
              <w:rPr>
                <w:rFonts w:ascii="Arial" w:eastAsia="Times New Roman" w:hAnsi="Arial" w:cs="Arial"/>
                <w:color w:val="000000"/>
                <w:lang w:eastAsia="es-MX"/>
              </w:rPr>
              <w:t xml:space="preserve"> </w:t>
            </w:r>
          </w:p>
        </w:tc>
        <w:tc>
          <w:tcPr>
            <w:tcW w:w="6840" w:type="dxa"/>
            <w:tcBorders>
              <w:top w:val="nil"/>
              <w:left w:val="nil"/>
              <w:bottom w:val="single" w:sz="4" w:space="0" w:color="auto"/>
              <w:right w:val="single" w:sz="4" w:space="0" w:color="auto"/>
            </w:tcBorders>
            <w:shd w:val="clear" w:color="auto" w:fill="auto"/>
            <w:vAlign w:val="center"/>
            <w:hideMark/>
          </w:tcPr>
          <w:p w14:paraId="5705D403"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Equipo de Defensa y Seguridad </w:t>
            </w:r>
          </w:p>
        </w:tc>
        <w:tc>
          <w:tcPr>
            <w:tcW w:w="1820" w:type="dxa"/>
            <w:gridSpan w:val="2"/>
            <w:tcBorders>
              <w:top w:val="nil"/>
              <w:left w:val="nil"/>
              <w:bottom w:val="single" w:sz="4" w:space="0" w:color="auto"/>
              <w:right w:val="single" w:sz="4" w:space="0" w:color="auto"/>
            </w:tcBorders>
            <w:shd w:val="clear" w:color="auto" w:fill="auto"/>
            <w:vAlign w:val="center"/>
            <w:hideMark/>
          </w:tcPr>
          <w:p w14:paraId="15A35FC4" w14:textId="77777777" w:rsidR="00F21CC7" w:rsidRPr="00E67BE0" w:rsidRDefault="00F21CC7" w:rsidP="00F21CC7">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 xml:space="preserve">               743,712 </w:t>
            </w:r>
          </w:p>
        </w:tc>
      </w:tr>
      <w:tr w:rsidR="00F21CC7" w:rsidRPr="00E67BE0" w14:paraId="43D868D1" w14:textId="77777777" w:rsidTr="006070C7">
        <w:trPr>
          <w:gridBefore w:val="1"/>
          <w:wBefore w:w="10" w:type="dxa"/>
          <w:trHeight w:val="319"/>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37D6B418" w14:textId="48851E62" w:rsidR="00F21CC7" w:rsidRPr="00E67BE0" w:rsidRDefault="003C2B85"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2.8</w:t>
            </w:r>
            <w:r w:rsidR="00F21CC7" w:rsidRPr="00E67BE0">
              <w:rPr>
                <w:rFonts w:ascii="Arial" w:eastAsia="Times New Roman" w:hAnsi="Arial" w:cs="Arial"/>
                <w:color w:val="000000"/>
                <w:lang w:eastAsia="es-MX"/>
              </w:rPr>
              <w:t xml:space="preserve"> </w:t>
            </w:r>
          </w:p>
        </w:tc>
        <w:tc>
          <w:tcPr>
            <w:tcW w:w="6840" w:type="dxa"/>
            <w:tcBorders>
              <w:top w:val="nil"/>
              <w:left w:val="nil"/>
              <w:bottom w:val="single" w:sz="4" w:space="0" w:color="auto"/>
              <w:right w:val="single" w:sz="4" w:space="0" w:color="auto"/>
            </w:tcBorders>
            <w:shd w:val="clear" w:color="auto" w:fill="auto"/>
            <w:vAlign w:val="center"/>
            <w:hideMark/>
          </w:tcPr>
          <w:p w14:paraId="42C7C865"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Maquinaria, Otros Equipos y Herramientas </w:t>
            </w:r>
          </w:p>
        </w:tc>
        <w:tc>
          <w:tcPr>
            <w:tcW w:w="1820" w:type="dxa"/>
            <w:gridSpan w:val="2"/>
            <w:tcBorders>
              <w:top w:val="nil"/>
              <w:left w:val="nil"/>
              <w:bottom w:val="single" w:sz="4" w:space="0" w:color="auto"/>
              <w:right w:val="single" w:sz="4" w:space="0" w:color="auto"/>
            </w:tcBorders>
            <w:shd w:val="clear" w:color="auto" w:fill="auto"/>
            <w:vAlign w:val="center"/>
            <w:hideMark/>
          </w:tcPr>
          <w:p w14:paraId="055FB611" w14:textId="77777777" w:rsidR="00F21CC7" w:rsidRPr="00E67BE0" w:rsidRDefault="00F21CC7" w:rsidP="001A5BBB">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 xml:space="preserve">          83,600,442 </w:t>
            </w:r>
          </w:p>
        </w:tc>
      </w:tr>
      <w:tr w:rsidR="00F21CC7" w:rsidRPr="00E67BE0" w14:paraId="1DA44F05" w14:textId="77777777" w:rsidTr="006070C7">
        <w:trPr>
          <w:gridBefore w:val="1"/>
          <w:wBefore w:w="10" w:type="dxa"/>
          <w:trHeight w:val="319"/>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6039EE12" w14:textId="5C3376A8" w:rsidR="00F21CC7" w:rsidRPr="00E67BE0" w:rsidRDefault="003C2B85" w:rsidP="00401355">
            <w:pPr>
              <w:spacing w:after="0" w:line="240" w:lineRule="auto"/>
              <w:rPr>
                <w:rFonts w:ascii="Arial" w:eastAsia="Times New Roman" w:hAnsi="Arial" w:cs="Arial"/>
                <w:color w:val="000000"/>
                <w:lang w:eastAsia="es-MX"/>
              </w:rPr>
            </w:pPr>
            <w:r w:rsidRPr="00E67BE0">
              <w:rPr>
                <w:rFonts w:ascii="Arial" w:eastAsia="Times New Roman" w:hAnsi="Arial" w:cs="Arial"/>
                <w:color w:val="000000"/>
                <w:lang w:eastAsia="es-MX"/>
              </w:rPr>
              <w:t>2.9</w:t>
            </w:r>
          </w:p>
        </w:tc>
        <w:tc>
          <w:tcPr>
            <w:tcW w:w="6840" w:type="dxa"/>
            <w:tcBorders>
              <w:top w:val="nil"/>
              <w:left w:val="nil"/>
              <w:bottom w:val="single" w:sz="4" w:space="0" w:color="auto"/>
              <w:right w:val="single" w:sz="4" w:space="0" w:color="auto"/>
            </w:tcBorders>
            <w:shd w:val="clear" w:color="auto" w:fill="auto"/>
            <w:vAlign w:val="center"/>
            <w:hideMark/>
          </w:tcPr>
          <w:p w14:paraId="296F01B5"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Activos Biológicos </w:t>
            </w:r>
          </w:p>
        </w:tc>
        <w:tc>
          <w:tcPr>
            <w:tcW w:w="1820" w:type="dxa"/>
            <w:gridSpan w:val="2"/>
            <w:tcBorders>
              <w:top w:val="nil"/>
              <w:left w:val="nil"/>
              <w:bottom w:val="single" w:sz="4" w:space="0" w:color="auto"/>
              <w:right w:val="single" w:sz="4" w:space="0" w:color="auto"/>
            </w:tcBorders>
            <w:shd w:val="clear" w:color="auto" w:fill="auto"/>
            <w:vAlign w:val="center"/>
            <w:hideMark/>
          </w:tcPr>
          <w:p w14:paraId="22A13613" w14:textId="77777777" w:rsidR="00F21CC7" w:rsidRPr="00E67BE0" w:rsidRDefault="00F21CC7" w:rsidP="00F21CC7">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0</w:t>
            </w:r>
          </w:p>
        </w:tc>
      </w:tr>
      <w:tr w:rsidR="00F21CC7" w:rsidRPr="00E67BE0" w14:paraId="1E435268" w14:textId="77777777" w:rsidTr="006070C7">
        <w:trPr>
          <w:gridBefore w:val="1"/>
          <w:wBefore w:w="10" w:type="dxa"/>
          <w:trHeight w:val="319"/>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43783DAB" w14:textId="47EA676F" w:rsidR="00F21CC7" w:rsidRPr="00E67BE0" w:rsidRDefault="00F21CC7" w:rsidP="00401355">
            <w:pPr>
              <w:spacing w:after="0" w:line="240" w:lineRule="auto"/>
              <w:rPr>
                <w:rFonts w:ascii="Arial" w:eastAsia="Times New Roman" w:hAnsi="Arial" w:cs="Arial"/>
                <w:color w:val="000000"/>
                <w:lang w:eastAsia="es-MX"/>
              </w:rPr>
            </w:pPr>
            <w:r w:rsidRPr="00E67BE0">
              <w:rPr>
                <w:rFonts w:ascii="Arial" w:eastAsia="Times New Roman" w:hAnsi="Arial" w:cs="Arial"/>
                <w:color w:val="000000"/>
                <w:lang w:eastAsia="es-MX"/>
              </w:rPr>
              <w:t>2.10</w:t>
            </w:r>
          </w:p>
        </w:tc>
        <w:tc>
          <w:tcPr>
            <w:tcW w:w="6840" w:type="dxa"/>
            <w:tcBorders>
              <w:top w:val="nil"/>
              <w:left w:val="nil"/>
              <w:bottom w:val="single" w:sz="4" w:space="0" w:color="auto"/>
              <w:right w:val="single" w:sz="4" w:space="0" w:color="auto"/>
            </w:tcBorders>
            <w:shd w:val="clear" w:color="auto" w:fill="auto"/>
            <w:vAlign w:val="center"/>
            <w:hideMark/>
          </w:tcPr>
          <w:p w14:paraId="76E2B491"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Bienes Inmuebles </w:t>
            </w:r>
          </w:p>
        </w:tc>
        <w:tc>
          <w:tcPr>
            <w:tcW w:w="1820" w:type="dxa"/>
            <w:gridSpan w:val="2"/>
            <w:tcBorders>
              <w:top w:val="nil"/>
              <w:left w:val="nil"/>
              <w:bottom w:val="single" w:sz="4" w:space="0" w:color="auto"/>
              <w:right w:val="single" w:sz="4" w:space="0" w:color="auto"/>
            </w:tcBorders>
            <w:shd w:val="clear" w:color="auto" w:fill="auto"/>
            <w:vAlign w:val="center"/>
            <w:hideMark/>
          </w:tcPr>
          <w:p w14:paraId="72360AA5" w14:textId="77777777" w:rsidR="00F21CC7" w:rsidRPr="00E67BE0" w:rsidRDefault="00F21CC7" w:rsidP="00F21CC7">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0</w:t>
            </w:r>
          </w:p>
        </w:tc>
      </w:tr>
      <w:tr w:rsidR="00F21CC7" w:rsidRPr="00E67BE0" w14:paraId="24245E24" w14:textId="77777777" w:rsidTr="006070C7">
        <w:trPr>
          <w:gridBefore w:val="1"/>
          <w:wBefore w:w="10" w:type="dxa"/>
          <w:trHeight w:val="319"/>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17BD1A01" w14:textId="09F5F637" w:rsidR="00F21CC7" w:rsidRPr="00E67BE0" w:rsidRDefault="00F21CC7" w:rsidP="00401355">
            <w:pPr>
              <w:spacing w:after="0" w:line="240" w:lineRule="auto"/>
              <w:rPr>
                <w:rFonts w:ascii="Arial" w:eastAsia="Times New Roman" w:hAnsi="Arial" w:cs="Arial"/>
                <w:color w:val="000000"/>
                <w:lang w:eastAsia="es-MX"/>
              </w:rPr>
            </w:pPr>
            <w:r w:rsidRPr="00E67BE0">
              <w:rPr>
                <w:rFonts w:ascii="Arial" w:eastAsia="Times New Roman" w:hAnsi="Arial" w:cs="Arial"/>
                <w:color w:val="000000"/>
                <w:lang w:eastAsia="es-MX"/>
              </w:rPr>
              <w:t>2.11</w:t>
            </w:r>
          </w:p>
        </w:tc>
        <w:tc>
          <w:tcPr>
            <w:tcW w:w="6840" w:type="dxa"/>
            <w:tcBorders>
              <w:top w:val="nil"/>
              <w:left w:val="nil"/>
              <w:bottom w:val="single" w:sz="4" w:space="0" w:color="auto"/>
              <w:right w:val="single" w:sz="4" w:space="0" w:color="auto"/>
            </w:tcBorders>
            <w:shd w:val="clear" w:color="auto" w:fill="auto"/>
            <w:vAlign w:val="center"/>
            <w:hideMark/>
          </w:tcPr>
          <w:p w14:paraId="4C9B5102"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Activos Intangibles </w:t>
            </w:r>
          </w:p>
        </w:tc>
        <w:tc>
          <w:tcPr>
            <w:tcW w:w="1820" w:type="dxa"/>
            <w:gridSpan w:val="2"/>
            <w:tcBorders>
              <w:top w:val="nil"/>
              <w:left w:val="nil"/>
              <w:bottom w:val="single" w:sz="4" w:space="0" w:color="auto"/>
              <w:right w:val="single" w:sz="4" w:space="0" w:color="auto"/>
            </w:tcBorders>
            <w:shd w:val="clear" w:color="auto" w:fill="auto"/>
            <w:vAlign w:val="center"/>
            <w:hideMark/>
          </w:tcPr>
          <w:p w14:paraId="7D7F9FDA" w14:textId="77777777" w:rsidR="00F21CC7" w:rsidRPr="00E67BE0" w:rsidRDefault="00F21CC7" w:rsidP="001A5BBB">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 xml:space="preserve">          12,266,913 </w:t>
            </w:r>
          </w:p>
        </w:tc>
      </w:tr>
      <w:tr w:rsidR="00F21CC7" w:rsidRPr="00E67BE0" w14:paraId="427F8B61" w14:textId="77777777" w:rsidTr="006070C7">
        <w:trPr>
          <w:gridBefore w:val="1"/>
          <w:wBefore w:w="10" w:type="dxa"/>
          <w:trHeight w:val="319"/>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223C4CF1" w14:textId="01727F36" w:rsidR="00F21CC7" w:rsidRPr="00E67BE0" w:rsidRDefault="00F21CC7" w:rsidP="00401355">
            <w:pPr>
              <w:spacing w:after="0" w:line="240" w:lineRule="auto"/>
              <w:rPr>
                <w:rFonts w:ascii="Arial" w:eastAsia="Times New Roman" w:hAnsi="Arial" w:cs="Arial"/>
                <w:color w:val="000000"/>
                <w:lang w:eastAsia="es-MX"/>
              </w:rPr>
            </w:pPr>
            <w:r w:rsidRPr="00E67BE0">
              <w:rPr>
                <w:rFonts w:ascii="Arial" w:eastAsia="Times New Roman" w:hAnsi="Arial" w:cs="Arial"/>
                <w:color w:val="000000"/>
                <w:lang w:eastAsia="es-MX"/>
              </w:rPr>
              <w:t>2.12</w:t>
            </w:r>
          </w:p>
        </w:tc>
        <w:tc>
          <w:tcPr>
            <w:tcW w:w="6840" w:type="dxa"/>
            <w:tcBorders>
              <w:top w:val="nil"/>
              <w:left w:val="nil"/>
              <w:bottom w:val="single" w:sz="4" w:space="0" w:color="auto"/>
              <w:right w:val="single" w:sz="4" w:space="0" w:color="auto"/>
            </w:tcBorders>
            <w:shd w:val="clear" w:color="auto" w:fill="auto"/>
            <w:vAlign w:val="center"/>
            <w:hideMark/>
          </w:tcPr>
          <w:p w14:paraId="7E60866C"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Obra Pública en Bienes de Dominio Público </w:t>
            </w:r>
          </w:p>
        </w:tc>
        <w:tc>
          <w:tcPr>
            <w:tcW w:w="1820" w:type="dxa"/>
            <w:gridSpan w:val="2"/>
            <w:tcBorders>
              <w:top w:val="nil"/>
              <w:left w:val="nil"/>
              <w:bottom w:val="single" w:sz="4" w:space="0" w:color="auto"/>
              <w:right w:val="single" w:sz="4" w:space="0" w:color="auto"/>
            </w:tcBorders>
            <w:shd w:val="clear" w:color="auto" w:fill="auto"/>
            <w:vAlign w:val="center"/>
            <w:hideMark/>
          </w:tcPr>
          <w:p w14:paraId="5811EB5F" w14:textId="77777777" w:rsidR="00F21CC7" w:rsidRPr="00E67BE0" w:rsidRDefault="00F21CC7" w:rsidP="001A5BBB">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 xml:space="preserve">        396,731,305 </w:t>
            </w:r>
          </w:p>
        </w:tc>
      </w:tr>
      <w:tr w:rsidR="00F21CC7" w:rsidRPr="00E67BE0" w14:paraId="1791A9A9" w14:textId="77777777" w:rsidTr="006070C7">
        <w:trPr>
          <w:gridBefore w:val="1"/>
          <w:wBefore w:w="10" w:type="dxa"/>
          <w:trHeight w:val="319"/>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3212E959" w14:textId="75A206C8" w:rsidR="00F21CC7" w:rsidRPr="00E67BE0" w:rsidRDefault="00F21CC7" w:rsidP="00401355">
            <w:pPr>
              <w:spacing w:after="0" w:line="240" w:lineRule="auto"/>
              <w:rPr>
                <w:rFonts w:ascii="Arial" w:eastAsia="Times New Roman" w:hAnsi="Arial" w:cs="Arial"/>
                <w:color w:val="000000"/>
                <w:lang w:eastAsia="es-MX"/>
              </w:rPr>
            </w:pPr>
            <w:r w:rsidRPr="00E67BE0">
              <w:rPr>
                <w:rFonts w:ascii="Arial" w:eastAsia="Times New Roman" w:hAnsi="Arial" w:cs="Arial"/>
                <w:color w:val="000000"/>
                <w:lang w:eastAsia="es-MX"/>
              </w:rPr>
              <w:t>2.13</w:t>
            </w:r>
          </w:p>
        </w:tc>
        <w:tc>
          <w:tcPr>
            <w:tcW w:w="6840" w:type="dxa"/>
            <w:tcBorders>
              <w:top w:val="nil"/>
              <w:left w:val="nil"/>
              <w:bottom w:val="single" w:sz="4" w:space="0" w:color="auto"/>
              <w:right w:val="single" w:sz="4" w:space="0" w:color="auto"/>
            </w:tcBorders>
            <w:shd w:val="clear" w:color="auto" w:fill="auto"/>
            <w:vAlign w:val="center"/>
            <w:hideMark/>
          </w:tcPr>
          <w:p w14:paraId="1A8EBE65"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Obra Pública en Bienes Propios </w:t>
            </w:r>
          </w:p>
        </w:tc>
        <w:tc>
          <w:tcPr>
            <w:tcW w:w="1820" w:type="dxa"/>
            <w:gridSpan w:val="2"/>
            <w:tcBorders>
              <w:top w:val="nil"/>
              <w:left w:val="nil"/>
              <w:bottom w:val="single" w:sz="4" w:space="0" w:color="auto"/>
              <w:right w:val="single" w:sz="4" w:space="0" w:color="auto"/>
            </w:tcBorders>
            <w:shd w:val="clear" w:color="auto" w:fill="auto"/>
            <w:vAlign w:val="center"/>
            <w:hideMark/>
          </w:tcPr>
          <w:p w14:paraId="712AF1F8" w14:textId="77777777" w:rsidR="00F21CC7" w:rsidRPr="00E67BE0" w:rsidRDefault="00F21CC7" w:rsidP="001A5BBB">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 xml:space="preserve">     2,296,786,675 </w:t>
            </w:r>
          </w:p>
        </w:tc>
      </w:tr>
      <w:tr w:rsidR="00F21CC7" w:rsidRPr="00E67BE0" w14:paraId="7B7DBAC9" w14:textId="77777777" w:rsidTr="006070C7">
        <w:trPr>
          <w:gridBefore w:val="1"/>
          <w:wBefore w:w="10" w:type="dxa"/>
          <w:trHeight w:val="319"/>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4A2687E5" w14:textId="4F59E67A" w:rsidR="00F21CC7" w:rsidRPr="00E67BE0" w:rsidRDefault="00F21CC7" w:rsidP="00401355">
            <w:pPr>
              <w:spacing w:after="0" w:line="240" w:lineRule="auto"/>
              <w:rPr>
                <w:rFonts w:ascii="Arial" w:eastAsia="Times New Roman" w:hAnsi="Arial" w:cs="Arial"/>
                <w:color w:val="000000"/>
                <w:lang w:eastAsia="es-MX"/>
              </w:rPr>
            </w:pPr>
            <w:r w:rsidRPr="00E67BE0">
              <w:rPr>
                <w:rFonts w:ascii="Arial" w:eastAsia="Times New Roman" w:hAnsi="Arial" w:cs="Arial"/>
                <w:color w:val="000000"/>
                <w:lang w:eastAsia="es-MX"/>
              </w:rPr>
              <w:t>2.14</w:t>
            </w:r>
          </w:p>
        </w:tc>
        <w:tc>
          <w:tcPr>
            <w:tcW w:w="6840" w:type="dxa"/>
            <w:tcBorders>
              <w:top w:val="nil"/>
              <w:left w:val="nil"/>
              <w:bottom w:val="single" w:sz="4" w:space="0" w:color="auto"/>
              <w:right w:val="single" w:sz="4" w:space="0" w:color="auto"/>
            </w:tcBorders>
            <w:shd w:val="clear" w:color="auto" w:fill="auto"/>
            <w:vAlign w:val="center"/>
            <w:hideMark/>
          </w:tcPr>
          <w:p w14:paraId="43382B51"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Acciones y Participaciones de Capital </w:t>
            </w:r>
          </w:p>
        </w:tc>
        <w:tc>
          <w:tcPr>
            <w:tcW w:w="1820" w:type="dxa"/>
            <w:gridSpan w:val="2"/>
            <w:tcBorders>
              <w:top w:val="nil"/>
              <w:left w:val="nil"/>
              <w:bottom w:val="single" w:sz="4" w:space="0" w:color="auto"/>
              <w:right w:val="single" w:sz="4" w:space="0" w:color="auto"/>
            </w:tcBorders>
            <w:shd w:val="clear" w:color="auto" w:fill="auto"/>
            <w:vAlign w:val="center"/>
            <w:hideMark/>
          </w:tcPr>
          <w:p w14:paraId="5CE29512" w14:textId="77777777" w:rsidR="00F21CC7" w:rsidRPr="00E67BE0" w:rsidRDefault="00F21CC7" w:rsidP="001A5BBB">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 xml:space="preserve">            5,015,872 </w:t>
            </w:r>
          </w:p>
        </w:tc>
      </w:tr>
      <w:tr w:rsidR="00F21CC7" w:rsidRPr="00E67BE0" w14:paraId="080DE2D5" w14:textId="77777777" w:rsidTr="006070C7">
        <w:trPr>
          <w:gridBefore w:val="1"/>
          <w:wBefore w:w="10" w:type="dxa"/>
          <w:trHeight w:val="319"/>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2173BCC3" w14:textId="0DDD3D58" w:rsidR="00F21CC7" w:rsidRPr="00E67BE0" w:rsidRDefault="00F21CC7" w:rsidP="00401355">
            <w:pPr>
              <w:spacing w:after="0" w:line="240" w:lineRule="auto"/>
              <w:rPr>
                <w:rFonts w:ascii="Arial" w:eastAsia="Times New Roman" w:hAnsi="Arial" w:cs="Arial"/>
                <w:color w:val="000000"/>
                <w:lang w:eastAsia="es-MX"/>
              </w:rPr>
            </w:pPr>
            <w:r w:rsidRPr="00E67BE0">
              <w:rPr>
                <w:rFonts w:ascii="Arial" w:eastAsia="Times New Roman" w:hAnsi="Arial" w:cs="Arial"/>
                <w:color w:val="000000"/>
                <w:lang w:eastAsia="es-MX"/>
              </w:rPr>
              <w:t>2.15</w:t>
            </w:r>
          </w:p>
        </w:tc>
        <w:tc>
          <w:tcPr>
            <w:tcW w:w="6840" w:type="dxa"/>
            <w:tcBorders>
              <w:top w:val="nil"/>
              <w:left w:val="nil"/>
              <w:bottom w:val="single" w:sz="4" w:space="0" w:color="auto"/>
              <w:right w:val="single" w:sz="4" w:space="0" w:color="auto"/>
            </w:tcBorders>
            <w:shd w:val="clear" w:color="auto" w:fill="auto"/>
            <w:vAlign w:val="center"/>
            <w:hideMark/>
          </w:tcPr>
          <w:p w14:paraId="701D5589"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Compra de Títulos y Valores </w:t>
            </w:r>
          </w:p>
        </w:tc>
        <w:tc>
          <w:tcPr>
            <w:tcW w:w="1820" w:type="dxa"/>
            <w:gridSpan w:val="2"/>
            <w:tcBorders>
              <w:top w:val="nil"/>
              <w:left w:val="nil"/>
              <w:bottom w:val="single" w:sz="4" w:space="0" w:color="auto"/>
              <w:right w:val="single" w:sz="4" w:space="0" w:color="auto"/>
            </w:tcBorders>
            <w:shd w:val="clear" w:color="auto" w:fill="auto"/>
            <w:vAlign w:val="center"/>
            <w:hideMark/>
          </w:tcPr>
          <w:p w14:paraId="30675AA9" w14:textId="77777777" w:rsidR="00F21CC7" w:rsidRPr="00E67BE0" w:rsidRDefault="00F21CC7" w:rsidP="00F21CC7">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 </w:t>
            </w:r>
          </w:p>
        </w:tc>
      </w:tr>
      <w:tr w:rsidR="00F21CC7" w:rsidRPr="00E67BE0" w14:paraId="2C211465" w14:textId="77777777" w:rsidTr="006070C7">
        <w:trPr>
          <w:gridBefore w:val="1"/>
          <w:wBefore w:w="10" w:type="dxa"/>
          <w:trHeight w:val="319"/>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17C3CC44" w14:textId="08EC4C75" w:rsidR="00F21CC7" w:rsidRPr="00E67BE0" w:rsidRDefault="00F21CC7" w:rsidP="00401355">
            <w:pPr>
              <w:spacing w:after="0" w:line="240" w:lineRule="auto"/>
              <w:rPr>
                <w:rFonts w:ascii="Arial" w:eastAsia="Times New Roman" w:hAnsi="Arial" w:cs="Arial"/>
                <w:color w:val="000000"/>
                <w:lang w:eastAsia="es-MX"/>
              </w:rPr>
            </w:pPr>
            <w:r w:rsidRPr="00E67BE0">
              <w:rPr>
                <w:rFonts w:ascii="Arial" w:eastAsia="Times New Roman" w:hAnsi="Arial" w:cs="Arial"/>
                <w:color w:val="000000"/>
                <w:lang w:eastAsia="es-MX"/>
              </w:rPr>
              <w:lastRenderedPageBreak/>
              <w:t>2.16</w:t>
            </w:r>
          </w:p>
        </w:tc>
        <w:tc>
          <w:tcPr>
            <w:tcW w:w="6840" w:type="dxa"/>
            <w:tcBorders>
              <w:top w:val="nil"/>
              <w:left w:val="nil"/>
              <w:bottom w:val="single" w:sz="4" w:space="0" w:color="auto"/>
              <w:right w:val="single" w:sz="4" w:space="0" w:color="auto"/>
            </w:tcBorders>
            <w:shd w:val="clear" w:color="auto" w:fill="auto"/>
            <w:vAlign w:val="center"/>
            <w:hideMark/>
          </w:tcPr>
          <w:p w14:paraId="4D7FF9BC"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Concesión de Préstamos </w:t>
            </w:r>
          </w:p>
        </w:tc>
        <w:tc>
          <w:tcPr>
            <w:tcW w:w="1820" w:type="dxa"/>
            <w:gridSpan w:val="2"/>
            <w:tcBorders>
              <w:top w:val="nil"/>
              <w:left w:val="nil"/>
              <w:bottom w:val="single" w:sz="4" w:space="0" w:color="auto"/>
              <w:right w:val="single" w:sz="4" w:space="0" w:color="auto"/>
            </w:tcBorders>
            <w:shd w:val="clear" w:color="auto" w:fill="auto"/>
            <w:vAlign w:val="center"/>
            <w:hideMark/>
          </w:tcPr>
          <w:p w14:paraId="419C8181" w14:textId="77777777" w:rsidR="00F21CC7" w:rsidRPr="00E67BE0" w:rsidRDefault="00F21CC7" w:rsidP="00F21CC7">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 </w:t>
            </w:r>
          </w:p>
        </w:tc>
      </w:tr>
      <w:tr w:rsidR="00F21CC7" w:rsidRPr="00E67BE0" w14:paraId="2465DF75" w14:textId="77777777" w:rsidTr="006070C7">
        <w:trPr>
          <w:gridBefore w:val="1"/>
          <w:wBefore w:w="10" w:type="dxa"/>
          <w:trHeight w:val="319"/>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0C183B10" w14:textId="1CAD3D2F" w:rsidR="00F21CC7" w:rsidRPr="00E67BE0" w:rsidRDefault="00F21CC7" w:rsidP="00401355">
            <w:pPr>
              <w:spacing w:after="0" w:line="240" w:lineRule="auto"/>
              <w:rPr>
                <w:rFonts w:ascii="Arial" w:eastAsia="Times New Roman" w:hAnsi="Arial" w:cs="Arial"/>
                <w:color w:val="000000"/>
                <w:lang w:eastAsia="es-MX"/>
              </w:rPr>
            </w:pPr>
            <w:r w:rsidRPr="00E67BE0">
              <w:rPr>
                <w:rFonts w:ascii="Arial" w:eastAsia="Times New Roman" w:hAnsi="Arial" w:cs="Arial"/>
                <w:color w:val="000000"/>
                <w:lang w:eastAsia="es-MX"/>
              </w:rPr>
              <w:t>2.17</w:t>
            </w:r>
          </w:p>
        </w:tc>
        <w:tc>
          <w:tcPr>
            <w:tcW w:w="6840" w:type="dxa"/>
            <w:tcBorders>
              <w:top w:val="nil"/>
              <w:left w:val="nil"/>
              <w:bottom w:val="single" w:sz="4" w:space="0" w:color="auto"/>
              <w:right w:val="single" w:sz="4" w:space="0" w:color="auto"/>
            </w:tcBorders>
            <w:shd w:val="clear" w:color="auto" w:fill="auto"/>
            <w:vAlign w:val="center"/>
            <w:hideMark/>
          </w:tcPr>
          <w:p w14:paraId="189E9C86"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Inversiones en Fideicomisos, Mandatos y Otros Análogos </w:t>
            </w:r>
          </w:p>
        </w:tc>
        <w:tc>
          <w:tcPr>
            <w:tcW w:w="1820" w:type="dxa"/>
            <w:gridSpan w:val="2"/>
            <w:tcBorders>
              <w:top w:val="nil"/>
              <w:left w:val="nil"/>
              <w:bottom w:val="single" w:sz="4" w:space="0" w:color="auto"/>
              <w:right w:val="single" w:sz="4" w:space="0" w:color="auto"/>
            </w:tcBorders>
            <w:shd w:val="clear" w:color="auto" w:fill="auto"/>
            <w:vAlign w:val="center"/>
            <w:hideMark/>
          </w:tcPr>
          <w:p w14:paraId="17E76DA4" w14:textId="77777777" w:rsidR="00F21CC7" w:rsidRPr="00E67BE0" w:rsidRDefault="00F21CC7" w:rsidP="00F21CC7">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 </w:t>
            </w:r>
          </w:p>
        </w:tc>
      </w:tr>
      <w:tr w:rsidR="00F21CC7" w:rsidRPr="00E67BE0" w14:paraId="7862010B" w14:textId="77777777" w:rsidTr="006070C7">
        <w:trPr>
          <w:gridBefore w:val="1"/>
          <w:wBefore w:w="10" w:type="dxa"/>
          <w:trHeight w:val="319"/>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733A4BCA" w14:textId="4F363F5F" w:rsidR="00F21CC7" w:rsidRPr="00E67BE0" w:rsidRDefault="00F21CC7" w:rsidP="00401355">
            <w:pPr>
              <w:spacing w:after="0" w:line="240" w:lineRule="auto"/>
              <w:rPr>
                <w:rFonts w:ascii="Arial" w:eastAsia="Times New Roman" w:hAnsi="Arial" w:cs="Arial"/>
                <w:color w:val="000000"/>
                <w:lang w:eastAsia="es-MX"/>
              </w:rPr>
            </w:pPr>
            <w:r w:rsidRPr="00E67BE0">
              <w:rPr>
                <w:rFonts w:ascii="Arial" w:eastAsia="Times New Roman" w:hAnsi="Arial" w:cs="Arial"/>
                <w:color w:val="000000"/>
                <w:lang w:eastAsia="es-MX"/>
              </w:rPr>
              <w:t>2.18</w:t>
            </w:r>
          </w:p>
        </w:tc>
        <w:tc>
          <w:tcPr>
            <w:tcW w:w="6840" w:type="dxa"/>
            <w:tcBorders>
              <w:top w:val="nil"/>
              <w:left w:val="nil"/>
              <w:bottom w:val="single" w:sz="4" w:space="0" w:color="auto"/>
              <w:right w:val="single" w:sz="4" w:space="0" w:color="auto"/>
            </w:tcBorders>
            <w:shd w:val="clear" w:color="auto" w:fill="auto"/>
            <w:vAlign w:val="center"/>
            <w:hideMark/>
          </w:tcPr>
          <w:p w14:paraId="1E7A7EBE"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Provisiones para Contingencias y Otras Erogaciones Especiales </w:t>
            </w:r>
          </w:p>
        </w:tc>
        <w:tc>
          <w:tcPr>
            <w:tcW w:w="1820" w:type="dxa"/>
            <w:gridSpan w:val="2"/>
            <w:tcBorders>
              <w:top w:val="nil"/>
              <w:left w:val="nil"/>
              <w:bottom w:val="single" w:sz="4" w:space="0" w:color="auto"/>
              <w:right w:val="single" w:sz="8" w:space="0" w:color="auto"/>
            </w:tcBorders>
            <w:shd w:val="clear" w:color="auto" w:fill="auto"/>
            <w:vAlign w:val="center"/>
            <w:hideMark/>
          </w:tcPr>
          <w:p w14:paraId="5C5D0A53" w14:textId="77777777" w:rsidR="00F21CC7" w:rsidRPr="00E67BE0" w:rsidRDefault="00F21CC7" w:rsidP="00F21CC7">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 </w:t>
            </w:r>
          </w:p>
        </w:tc>
      </w:tr>
      <w:tr w:rsidR="00F21CC7" w:rsidRPr="00E67BE0" w14:paraId="51CBFBA5" w14:textId="77777777" w:rsidTr="006070C7">
        <w:trPr>
          <w:gridBefore w:val="1"/>
          <w:wBefore w:w="10" w:type="dxa"/>
          <w:trHeight w:val="319"/>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62CEFC9A" w14:textId="3BF8D935" w:rsidR="00F21CC7" w:rsidRPr="00E67BE0" w:rsidRDefault="00F21CC7" w:rsidP="00401355">
            <w:pPr>
              <w:spacing w:after="0" w:line="240" w:lineRule="auto"/>
              <w:rPr>
                <w:rFonts w:ascii="Arial" w:eastAsia="Times New Roman" w:hAnsi="Arial" w:cs="Arial"/>
                <w:color w:val="000000"/>
                <w:lang w:eastAsia="es-MX"/>
              </w:rPr>
            </w:pPr>
            <w:r w:rsidRPr="00E67BE0">
              <w:rPr>
                <w:rFonts w:ascii="Arial" w:eastAsia="Times New Roman" w:hAnsi="Arial" w:cs="Arial"/>
                <w:color w:val="000000"/>
                <w:lang w:eastAsia="es-MX"/>
              </w:rPr>
              <w:t>2.19</w:t>
            </w:r>
          </w:p>
        </w:tc>
        <w:tc>
          <w:tcPr>
            <w:tcW w:w="6840" w:type="dxa"/>
            <w:tcBorders>
              <w:top w:val="nil"/>
              <w:left w:val="nil"/>
              <w:bottom w:val="single" w:sz="4" w:space="0" w:color="auto"/>
              <w:right w:val="single" w:sz="4" w:space="0" w:color="auto"/>
            </w:tcBorders>
            <w:shd w:val="clear" w:color="auto" w:fill="auto"/>
            <w:vAlign w:val="center"/>
            <w:hideMark/>
          </w:tcPr>
          <w:p w14:paraId="39BD98A8"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Amortización de la Deuda Pública </w:t>
            </w:r>
          </w:p>
        </w:tc>
        <w:tc>
          <w:tcPr>
            <w:tcW w:w="1820" w:type="dxa"/>
            <w:gridSpan w:val="2"/>
            <w:tcBorders>
              <w:top w:val="nil"/>
              <w:left w:val="nil"/>
              <w:bottom w:val="single" w:sz="4" w:space="0" w:color="auto"/>
              <w:right w:val="single" w:sz="8" w:space="0" w:color="auto"/>
            </w:tcBorders>
            <w:shd w:val="clear" w:color="auto" w:fill="auto"/>
            <w:vAlign w:val="center"/>
            <w:hideMark/>
          </w:tcPr>
          <w:p w14:paraId="39963069" w14:textId="77777777" w:rsidR="00F21CC7" w:rsidRPr="00E67BE0" w:rsidRDefault="00F21CC7" w:rsidP="00F21CC7">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 xml:space="preserve">     4,502,050,138 </w:t>
            </w:r>
          </w:p>
        </w:tc>
      </w:tr>
      <w:tr w:rsidR="00F21CC7" w:rsidRPr="00E67BE0" w14:paraId="49197C83" w14:textId="77777777" w:rsidTr="006070C7">
        <w:trPr>
          <w:gridBefore w:val="1"/>
          <w:wBefore w:w="10" w:type="dxa"/>
          <w:trHeight w:val="319"/>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1981B811" w14:textId="3D298C76" w:rsidR="00F21CC7" w:rsidRPr="00E67BE0" w:rsidRDefault="00F21CC7" w:rsidP="00401355">
            <w:pPr>
              <w:spacing w:after="0" w:line="240" w:lineRule="auto"/>
              <w:rPr>
                <w:rFonts w:ascii="Arial" w:eastAsia="Times New Roman" w:hAnsi="Arial" w:cs="Arial"/>
                <w:color w:val="000000"/>
                <w:lang w:eastAsia="es-MX"/>
              </w:rPr>
            </w:pPr>
            <w:r w:rsidRPr="00E67BE0">
              <w:rPr>
                <w:rFonts w:ascii="Arial" w:eastAsia="Times New Roman" w:hAnsi="Arial" w:cs="Arial"/>
                <w:color w:val="000000"/>
                <w:lang w:eastAsia="es-MX"/>
              </w:rPr>
              <w:t>2.20</w:t>
            </w:r>
          </w:p>
        </w:tc>
        <w:tc>
          <w:tcPr>
            <w:tcW w:w="6840" w:type="dxa"/>
            <w:tcBorders>
              <w:top w:val="nil"/>
              <w:left w:val="nil"/>
              <w:bottom w:val="single" w:sz="4" w:space="0" w:color="auto"/>
              <w:right w:val="single" w:sz="4" w:space="0" w:color="auto"/>
            </w:tcBorders>
            <w:shd w:val="clear" w:color="auto" w:fill="auto"/>
            <w:vAlign w:val="center"/>
            <w:hideMark/>
          </w:tcPr>
          <w:p w14:paraId="207F36D3"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Adeudos de Ejercicios Fiscales Anteriores (ADEFAS) </w:t>
            </w:r>
          </w:p>
        </w:tc>
        <w:tc>
          <w:tcPr>
            <w:tcW w:w="1820" w:type="dxa"/>
            <w:gridSpan w:val="2"/>
            <w:tcBorders>
              <w:top w:val="nil"/>
              <w:left w:val="nil"/>
              <w:bottom w:val="single" w:sz="4" w:space="0" w:color="auto"/>
              <w:right w:val="single" w:sz="8" w:space="0" w:color="auto"/>
            </w:tcBorders>
            <w:shd w:val="clear" w:color="auto" w:fill="auto"/>
            <w:vAlign w:val="center"/>
            <w:hideMark/>
          </w:tcPr>
          <w:p w14:paraId="4B66FD8A" w14:textId="77777777" w:rsidR="00F21CC7" w:rsidRPr="00E67BE0" w:rsidRDefault="00F21CC7" w:rsidP="00F21CC7">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 </w:t>
            </w:r>
          </w:p>
        </w:tc>
      </w:tr>
      <w:tr w:rsidR="00F21CC7" w:rsidRPr="00E67BE0" w14:paraId="7AF227AD" w14:textId="77777777" w:rsidTr="006070C7">
        <w:trPr>
          <w:gridBefore w:val="1"/>
          <w:wBefore w:w="10" w:type="dxa"/>
          <w:trHeight w:val="319"/>
          <w:jc w:val="center"/>
        </w:trPr>
        <w:tc>
          <w:tcPr>
            <w:tcW w:w="680" w:type="dxa"/>
            <w:tcBorders>
              <w:top w:val="nil"/>
              <w:left w:val="single" w:sz="8" w:space="0" w:color="auto"/>
              <w:bottom w:val="single" w:sz="8" w:space="0" w:color="auto"/>
              <w:right w:val="single" w:sz="4" w:space="0" w:color="auto"/>
            </w:tcBorders>
            <w:shd w:val="clear" w:color="auto" w:fill="auto"/>
            <w:vAlign w:val="center"/>
            <w:hideMark/>
          </w:tcPr>
          <w:p w14:paraId="71CA7E36" w14:textId="21BB18D4" w:rsidR="00F21CC7" w:rsidRPr="00E67BE0" w:rsidRDefault="00F21CC7" w:rsidP="00401355">
            <w:pPr>
              <w:spacing w:after="0" w:line="240" w:lineRule="auto"/>
              <w:rPr>
                <w:rFonts w:ascii="Arial" w:eastAsia="Times New Roman" w:hAnsi="Arial" w:cs="Arial"/>
                <w:color w:val="000000"/>
                <w:lang w:eastAsia="es-MX"/>
              </w:rPr>
            </w:pPr>
            <w:r w:rsidRPr="00E67BE0">
              <w:rPr>
                <w:rFonts w:ascii="Arial" w:eastAsia="Times New Roman" w:hAnsi="Arial" w:cs="Arial"/>
                <w:color w:val="000000"/>
                <w:lang w:eastAsia="es-MX"/>
              </w:rPr>
              <w:t>2.21</w:t>
            </w:r>
          </w:p>
        </w:tc>
        <w:tc>
          <w:tcPr>
            <w:tcW w:w="6840" w:type="dxa"/>
            <w:tcBorders>
              <w:top w:val="nil"/>
              <w:left w:val="nil"/>
              <w:bottom w:val="single" w:sz="8" w:space="0" w:color="auto"/>
              <w:right w:val="single" w:sz="4" w:space="0" w:color="auto"/>
            </w:tcBorders>
            <w:shd w:val="clear" w:color="auto" w:fill="auto"/>
            <w:vAlign w:val="center"/>
            <w:hideMark/>
          </w:tcPr>
          <w:p w14:paraId="0058C88B"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Otros Egresos Presupuestarios No Contables </w:t>
            </w:r>
          </w:p>
        </w:tc>
        <w:tc>
          <w:tcPr>
            <w:tcW w:w="1820" w:type="dxa"/>
            <w:gridSpan w:val="2"/>
            <w:tcBorders>
              <w:top w:val="nil"/>
              <w:left w:val="nil"/>
              <w:bottom w:val="single" w:sz="8" w:space="0" w:color="auto"/>
              <w:right w:val="single" w:sz="8" w:space="0" w:color="auto"/>
            </w:tcBorders>
            <w:shd w:val="clear" w:color="auto" w:fill="auto"/>
            <w:noWrap/>
            <w:vAlign w:val="bottom"/>
            <w:hideMark/>
          </w:tcPr>
          <w:p w14:paraId="691237C3" w14:textId="77777777" w:rsidR="00F21CC7" w:rsidRPr="00E67BE0" w:rsidRDefault="00F21CC7" w:rsidP="00F21CC7">
            <w:pPr>
              <w:spacing w:after="0" w:line="240" w:lineRule="auto"/>
              <w:jc w:val="left"/>
              <w:rPr>
                <w:rFonts w:ascii="Arial" w:eastAsia="Times New Roman" w:hAnsi="Arial" w:cs="Arial"/>
                <w:color w:val="000000"/>
                <w:lang w:eastAsia="es-MX"/>
              </w:rPr>
            </w:pPr>
            <w:r w:rsidRPr="00E67BE0">
              <w:rPr>
                <w:rFonts w:ascii="Arial" w:eastAsia="Times New Roman" w:hAnsi="Arial" w:cs="Arial"/>
                <w:color w:val="000000"/>
                <w:lang w:eastAsia="es-MX"/>
              </w:rPr>
              <w:t> </w:t>
            </w:r>
          </w:p>
        </w:tc>
      </w:tr>
      <w:tr w:rsidR="00F21CC7" w:rsidRPr="00E67BE0" w14:paraId="7344713C" w14:textId="77777777" w:rsidTr="006070C7">
        <w:trPr>
          <w:gridBefore w:val="1"/>
          <w:wBefore w:w="10" w:type="dxa"/>
          <w:trHeight w:val="319"/>
          <w:jc w:val="center"/>
        </w:trPr>
        <w:tc>
          <w:tcPr>
            <w:tcW w:w="7520" w:type="dxa"/>
            <w:gridSpan w:val="2"/>
            <w:tcBorders>
              <w:top w:val="nil"/>
              <w:left w:val="single" w:sz="4" w:space="0" w:color="auto"/>
              <w:bottom w:val="nil"/>
              <w:right w:val="single" w:sz="4" w:space="0" w:color="auto"/>
            </w:tcBorders>
            <w:shd w:val="clear" w:color="auto" w:fill="auto"/>
            <w:vAlign w:val="center"/>
            <w:hideMark/>
          </w:tcPr>
          <w:p w14:paraId="36E91F65"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w:t>
            </w:r>
          </w:p>
        </w:tc>
        <w:tc>
          <w:tcPr>
            <w:tcW w:w="1820" w:type="dxa"/>
            <w:gridSpan w:val="2"/>
            <w:tcBorders>
              <w:top w:val="nil"/>
              <w:left w:val="nil"/>
              <w:bottom w:val="nil"/>
              <w:right w:val="nil"/>
            </w:tcBorders>
            <w:shd w:val="clear" w:color="auto" w:fill="auto"/>
            <w:vAlign w:val="center"/>
            <w:hideMark/>
          </w:tcPr>
          <w:p w14:paraId="28662FCC" w14:textId="77777777" w:rsidR="00F21CC7" w:rsidRPr="00E67BE0" w:rsidRDefault="00F21CC7" w:rsidP="00F21CC7">
            <w:pPr>
              <w:spacing w:after="0" w:line="240" w:lineRule="auto"/>
              <w:rPr>
                <w:rFonts w:ascii="Arial" w:eastAsia="Times New Roman" w:hAnsi="Arial" w:cs="Arial"/>
                <w:color w:val="000000"/>
                <w:lang w:eastAsia="es-MX"/>
              </w:rPr>
            </w:pPr>
            <w:r w:rsidRPr="00E67BE0">
              <w:rPr>
                <w:rFonts w:ascii="Arial" w:eastAsia="Times New Roman" w:hAnsi="Arial" w:cs="Arial"/>
                <w:color w:val="000000"/>
                <w:lang w:eastAsia="es-MX"/>
              </w:rPr>
              <w:t> </w:t>
            </w:r>
          </w:p>
        </w:tc>
      </w:tr>
      <w:tr w:rsidR="00F21CC7" w:rsidRPr="00E67BE0" w14:paraId="4470191C" w14:textId="77777777" w:rsidTr="006070C7">
        <w:trPr>
          <w:gridBefore w:val="1"/>
          <w:wBefore w:w="10" w:type="dxa"/>
          <w:trHeight w:val="319"/>
          <w:jc w:val="center"/>
        </w:trPr>
        <w:tc>
          <w:tcPr>
            <w:tcW w:w="752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23B8F99E" w14:textId="77777777" w:rsidR="00F21CC7" w:rsidRPr="00E67BE0" w:rsidRDefault="00F21CC7" w:rsidP="00F21CC7">
            <w:pPr>
              <w:spacing w:after="0" w:line="240" w:lineRule="auto"/>
              <w:jc w:val="both"/>
              <w:rPr>
                <w:rFonts w:ascii="Arial" w:eastAsia="Times New Roman" w:hAnsi="Arial" w:cs="Arial"/>
                <w:b/>
                <w:bCs/>
                <w:color w:val="000000"/>
                <w:lang w:eastAsia="es-MX"/>
              </w:rPr>
            </w:pPr>
            <w:r w:rsidRPr="00E67BE0">
              <w:rPr>
                <w:rFonts w:ascii="Arial" w:eastAsia="Times New Roman" w:hAnsi="Arial" w:cs="Arial"/>
                <w:b/>
                <w:bCs/>
                <w:color w:val="000000"/>
                <w:lang w:eastAsia="es-MX"/>
              </w:rPr>
              <w:t xml:space="preserve"> 3. Más Gastos Contables No Presupuestarios </w:t>
            </w:r>
          </w:p>
        </w:tc>
        <w:tc>
          <w:tcPr>
            <w:tcW w:w="1820" w:type="dxa"/>
            <w:gridSpan w:val="2"/>
            <w:tcBorders>
              <w:top w:val="single" w:sz="8" w:space="0" w:color="auto"/>
              <w:left w:val="nil"/>
              <w:bottom w:val="single" w:sz="8" w:space="0" w:color="auto"/>
              <w:right w:val="single" w:sz="8" w:space="0" w:color="auto"/>
            </w:tcBorders>
            <w:shd w:val="clear" w:color="auto" w:fill="auto"/>
            <w:vAlign w:val="center"/>
            <w:hideMark/>
          </w:tcPr>
          <w:p w14:paraId="0A4CEEC1" w14:textId="77777777" w:rsidR="00F21CC7" w:rsidRPr="00E67BE0" w:rsidRDefault="00F21CC7" w:rsidP="001A5BBB">
            <w:pPr>
              <w:spacing w:after="0" w:line="240" w:lineRule="auto"/>
              <w:jc w:val="right"/>
              <w:rPr>
                <w:rFonts w:ascii="Arial" w:eastAsia="Times New Roman" w:hAnsi="Arial" w:cs="Arial"/>
                <w:b/>
                <w:bCs/>
                <w:color w:val="000000"/>
                <w:lang w:eastAsia="es-MX"/>
              </w:rPr>
            </w:pPr>
            <w:r w:rsidRPr="00E67BE0">
              <w:rPr>
                <w:rFonts w:ascii="Arial" w:eastAsia="Times New Roman" w:hAnsi="Arial" w:cs="Arial"/>
                <w:b/>
                <w:bCs/>
                <w:color w:val="000000"/>
                <w:lang w:eastAsia="es-MX"/>
              </w:rPr>
              <w:t xml:space="preserve">     3,878,064,319 </w:t>
            </w:r>
          </w:p>
        </w:tc>
      </w:tr>
      <w:tr w:rsidR="00F21CC7" w:rsidRPr="00E67BE0" w14:paraId="766D3A51" w14:textId="77777777" w:rsidTr="006070C7">
        <w:trPr>
          <w:gridBefore w:val="1"/>
          <w:wBefore w:w="10" w:type="dxa"/>
          <w:trHeight w:val="61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B802D74" w14:textId="194A9CB9" w:rsidR="00F21CC7" w:rsidRPr="00E67BE0" w:rsidRDefault="003C2B85" w:rsidP="00401355">
            <w:pPr>
              <w:spacing w:after="0" w:line="240" w:lineRule="auto"/>
              <w:rPr>
                <w:rFonts w:ascii="Arial" w:eastAsia="Times New Roman" w:hAnsi="Arial" w:cs="Arial"/>
                <w:color w:val="000000"/>
                <w:lang w:eastAsia="es-MX"/>
              </w:rPr>
            </w:pPr>
            <w:r w:rsidRPr="00E67BE0">
              <w:rPr>
                <w:rFonts w:ascii="Arial" w:eastAsia="Times New Roman" w:hAnsi="Arial" w:cs="Arial"/>
                <w:color w:val="000000"/>
                <w:lang w:eastAsia="es-MX"/>
              </w:rPr>
              <w:t>3.1</w:t>
            </w:r>
          </w:p>
        </w:tc>
        <w:tc>
          <w:tcPr>
            <w:tcW w:w="6840" w:type="dxa"/>
            <w:tcBorders>
              <w:top w:val="nil"/>
              <w:left w:val="nil"/>
              <w:bottom w:val="single" w:sz="4" w:space="0" w:color="auto"/>
              <w:right w:val="single" w:sz="4" w:space="0" w:color="auto"/>
            </w:tcBorders>
            <w:shd w:val="clear" w:color="auto" w:fill="auto"/>
            <w:vAlign w:val="center"/>
            <w:hideMark/>
          </w:tcPr>
          <w:p w14:paraId="1F5C6C4C"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Estimaciones, Depreciaciones, Deterioros, Obsolescencia y Amortizaciones </w:t>
            </w:r>
          </w:p>
        </w:tc>
        <w:tc>
          <w:tcPr>
            <w:tcW w:w="1820" w:type="dxa"/>
            <w:gridSpan w:val="2"/>
            <w:tcBorders>
              <w:top w:val="nil"/>
              <w:left w:val="nil"/>
              <w:bottom w:val="single" w:sz="4" w:space="0" w:color="auto"/>
              <w:right w:val="single" w:sz="4" w:space="0" w:color="auto"/>
            </w:tcBorders>
            <w:shd w:val="clear" w:color="auto" w:fill="auto"/>
            <w:vAlign w:val="center"/>
            <w:hideMark/>
          </w:tcPr>
          <w:p w14:paraId="37B35915" w14:textId="77777777" w:rsidR="00F21CC7" w:rsidRPr="00E67BE0" w:rsidRDefault="00F21CC7" w:rsidP="001A5BBB">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 xml:space="preserve">        259,159,103 </w:t>
            </w:r>
          </w:p>
        </w:tc>
      </w:tr>
      <w:tr w:rsidR="00F21CC7" w:rsidRPr="00E67BE0" w14:paraId="3C935AC7" w14:textId="77777777" w:rsidTr="006070C7">
        <w:trPr>
          <w:gridBefore w:val="1"/>
          <w:wBefore w:w="10" w:type="dxa"/>
          <w:trHeight w:val="319"/>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7631E66" w14:textId="7A45DC01" w:rsidR="00F21CC7" w:rsidRPr="00E67BE0" w:rsidRDefault="003C2B85"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3.2</w:t>
            </w:r>
          </w:p>
        </w:tc>
        <w:tc>
          <w:tcPr>
            <w:tcW w:w="6840" w:type="dxa"/>
            <w:tcBorders>
              <w:top w:val="nil"/>
              <w:left w:val="nil"/>
              <w:bottom w:val="single" w:sz="4" w:space="0" w:color="auto"/>
              <w:right w:val="single" w:sz="4" w:space="0" w:color="auto"/>
            </w:tcBorders>
            <w:shd w:val="clear" w:color="auto" w:fill="auto"/>
            <w:vAlign w:val="center"/>
            <w:hideMark/>
          </w:tcPr>
          <w:p w14:paraId="10921B54"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Provisiones </w:t>
            </w:r>
          </w:p>
        </w:tc>
        <w:tc>
          <w:tcPr>
            <w:tcW w:w="1820" w:type="dxa"/>
            <w:gridSpan w:val="2"/>
            <w:tcBorders>
              <w:top w:val="nil"/>
              <w:left w:val="nil"/>
              <w:bottom w:val="single" w:sz="4" w:space="0" w:color="auto"/>
              <w:right w:val="single" w:sz="4" w:space="0" w:color="auto"/>
            </w:tcBorders>
            <w:shd w:val="clear" w:color="auto" w:fill="auto"/>
            <w:vAlign w:val="center"/>
            <w:hideMark/>
          </w:tcPr>
          <w:p w14:paraId="502F2B0C" w14:textId="77777777" w:rsidR="00F21CC7" w:rsidRPr="00E67BE0" w:rsidRDefault="00F21CC7" w:rsidP="00F21CC7">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0</w:t>
            </w:r>
          </w:p>
        </w:tc>
      </w:tr>
      <w:tr w:rsidR="00F21CC7" w:rsidRPr="00E67BE0" w14:paraId="523C7C7A" w14:textId="77777777" w:rsidTr="006070C7">
        <w:trPr>
          <w:gridBefore w:val="1"/>
          <w:wBefore w:w="10" w:type="dxa"/>
          <w:trHeight w:val="420"/>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7C0E61F3" w14:textId="176C1D89" w:rsidR="00F21CC7" w:rsidRPr="00E67BE0" w:rsidRDefault="003C2B85"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3.3</w:t>
            </w:r>
            <w:r w:rsidR="00F21CC7" w:rsidRPr="00E67BE0">
              <w:rPr>
                <w:rFonts w:ascii="Arial" w:eastAsia="Times New Roman" w:hAnsi="Arial" w:cs="Arial"/>
                <w:color w:val="000000"/>
                <w:lang w:eastAsia="es-MX"/>
              </w:rPr>
              <w:t xml:space="preserve"> </w:t>
            </w:r>
          </w:p>
        </w:tc>
        <w:tc>
          <w:tcPr>
            <w:tcW w:w="6840" w:type="dxa"/>
            <w:tcBorders>
              <w:top w:val="nil"/>
              <w:left w:val="nil"/>
              <w:bottom w:val="single" w:sz="4" w:space="0" w:color="auto"/>
              <w:right w:val="single" w:sz="4" w:space="0" w:color="auto"/>
            </w:tcBorders>
            <w:shd w:val="clear" w:color="auto" w:fill="auto"/>
            <w:vAlign w:val="center"/>
            <w:hideMark/>
          </w:tcPr>
          <w:p w14:paraId="4ED0A96D"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Disminución de Inventarios </w:t>
            </w:r>
          </w:p>
        </w:tc>
        <w:tc>
          <w:tcPr>
            <w:tcW w:w="1820" w:type="dxa"/>
            <w:gridSpan w:val="2"/>
            <w:tcBorders>
              <w:top w:val="nil"/>
              <w:left w:val="nil"/>
              <w:bottom w:val="single" w:sz="4" w:space="0" w:color="auto"/>
              <w:right w:val="single" w:sz="8" w:space="0" w:color="auto"/>
            </w:tcBorders>
            <w:shd w:val="clear" w:color="auto" w:fill="auto"/>
            <w:vAlign w:val="center"/>
            <w:hideMark/>
          </w:tcPr>
          <w:p w14:paraId="3600A812" w14:textId="77777777" w:rsidR="00F21CC7" w:rsidRPr="00E67BE0" w:rsidRDefault="00F21CC7" w:rsidP="00F21CC7">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0</w:t>
            </w:r>
          </w:p>
        </w:tc>
      </w:tr>
      <w:tr w:rsidR="00F21CC7" w:rsidRPr="00E67BE0" w14:paraId="35B5D9EC" w14:textId="77777777" w:rsidTr="006070C7">
        <w:trPr>
          <w:gridBefore w:val="1"/>
          <w:wBefore w:w="10" w:type="dxa"/>
          <w:trHeight w:val="660"/>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7580282A" w14:textId="4FEEE89B" w:rsidR="00F21CC7" w:rsidRPr="00E67BE0" w:rsidRDefault="003C2B85" w:rsidP="00401355">
            <w:pPr>
              <w:spacing w:after="0" w:line="240" w:lineRule="auto"/>
              <w:rPr>
                <w:rFonts w:ascii="Arial" w:eastAsia="Times New Roman" w:hAnsi="Arial" w:cs="Arial"/>
                <w:color w:val="000000"/>
                <w:lang w:eastAsia="es-MX"/>
              </w:rPr>
            </w:pPr>
            <w:r w:rsidRPr="00E67BE0">
              <w:rPr>
                <w:rFonts w:ascii="Arial" w:eastAsia="Times New Roman" w:hAnsi="Arial" w:cs="Arial"/>
                <w:color w:val="000000"/>
                <w:lang w:eastAsia="es-MX"/>
              </w:rPr>
              <w:t>3.4</w:t>
            </w:r>
          </w:p>
        </w:tc>
        <w:tc>
          <w:tcPr>
            <w:tcW w:w="6840" w:type="dxa"/>
            <w:tcBorders>
              <w:top w:val="nil"/>
              <w:left w:val="nil"/>
              <w:bottom w:val="single" w:sz="4" w:space="0" w:color="auto"/>
              <w:right w:val="single" w:sz="4" w:space="0" w:color="auto"/>
            </w:tcBorders>
            <w:shd w:val="clear" w:color="auto" w:fill="auto"/>
            <w:vAlign w:val="center"/>
            <w:hideMark/>
          </w:tcPr>
          <w:p w14:paraId="5091B6E9"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Aumento por Insuficiencia de Estimaciones por Pérdida o Deterioro u Obsolescencia </w:t>
            </w:r>
          </w:p>
        </w:tc>
        <w:tc>
          <w:tcPr>
            <w:tcW w:w="1820" w:type="dxa"/>
            <w:gridSpan w:val="2"/>
            <w:tcBorders>
              <w:top w:val="nil"/>
              <w:left w:val="nil"/>
              <w:bottom w:val="single" w:sz="4" w:space="0" w:color="auto"/>
              <w:right w:val="single" w:sz="8" w:space="0" w:color="auto"/>
            </w:tcBorders>
            <w:shd w:val="clear" w:color="auto" w:fill="auto"/>
            <w:vAlign w:val="center"/>
            <w:hideMark/>
          </w:tcPr>
          <w:p w14:paraId="0122F8F7" w14:textId="77777777" w:rsidR="00F21CC7" w:rsidRPr="00E67BE0" w:rsidRDefault="00F21CC7" w:rsidP="00F21CC7">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0</w:t>
            </w:r>
          </w:p>
        </w:tc>
      </w:tr>
      <w:tr w:rsidR="00F21CC7" w:rsidRPr="00E67BE0" w14:paraId="352E6302" w14:textId="77777777" w:rsidTr="006070C7">
        <w:trPr>
          <w:gridBefore w:val="1"/>
          <w:wBefore w:w="10" w:type="dxa"/>
          <w:trHeight w:val="375"/>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1C760370" w14:textId="1B5E56C1" w:rsidR="00F21CC7" w:rsidRPr="00E67BE0" w:rsidRDefault="003C2B85" w:rsidP="00401355">
            <w:pPr>
              <w:spacing w:after="0" w:line="240" w:lineRule="auto"/>
              <w:rPr>
                <w:rFonts w:ascii="Arial" w:eastAsia="Times New Roman" w:hAnsi="Arial" w:cs="Arial"/>
                <w:color w:val="000000"/>
                <w:lang w:eastAsia="es-MX"/>
              </w:rPr>
            </w:pPr>
            <w:r w:rsidRPr="00E67BE0">
              <w:rPr>
                <w:rFonts w:ascii="Arial" w:eastAsia="Times New Roman" w:hAnsi="Arial" w:cs="Arial"/>
                <w:color w:val="000000"/>
                <w:lang w:eastAsia="es-MX"/>
              </w:rPr>
              <w:t>3.5</w:t>
            </w:r>
          </w:p>
        </w:tc>
        <w:tc>
          <w:tcPr>
            <w:tcW w:w="6840" w:type="dxa"/>
            <w:tcBorders>
              <w:top w:val="nil"/>
              <w:left w:val="nil"/>
              <w:bottom w:val="single" w:sz="4" w:space="0" w:color="auto"/>
              <w:right w:val="single" w:sz="4" w:space="0" w:color="auto"/>
            </w:tcBorders>
            <w:shd w:val="clear" w:color="auto" w:fill="auto"/>
            <w:vAlign w:val="center"/>
            <w:hideMark/>
          </w:tcPr>
          <w:p w14:paraId="766E9050"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Aumento por Insuficiencia de Provisiones </w:t>
            </w:r>
          </w:p>
        </w:tc>
        <w:tc>
          <w:tcPr>
            <w:tcW w:w="1820" w:type="dxa"/>
            <w:gridSpan w:val="2"/>
            <w:tcBorders>
              <w:top w:val="nil"/>
              <w:left w:val="nil"/>
              <w:bottom w:val="single" w:sz="4" w:space="0" w:color="auto"/>
              <w:right w:val="single" w:sz="8" w:space="0" w:color="auto"/>
            </w:tcBorders>
            <w:shd w:val="clear" w:color="auto" w:fill="auto"/>
            <w:vAlign w:val="center"/>
            <w:hideMark/>
          </w:tcPr>
          <w:p w14:paraId="0AA348D9" w14:textId="77777777" w:rsidR="00F21CC7" w:rsidRPr="00E67BE0" w:rsidRDefault="00F21CC7" w:rsidP="00F21CC7">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0</w:t>
            </w:r>
          </w:p>
        </w:tc>
      </w:tr>
      <w:tr w:rsidR="00F21CC7" w:rsidRPr="00E67BE0" w14:paraId="3BEF017A" w14:textId="77777777" w:rsidTr="008E255E">
        <w:trPr>
          <w:gridBefore w:val="1"/>
          <w:wBefore w:w="10" w:type="dxa"/>
          <w:trHeight w:val="468"/>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4F9903B7" w14:textId="1E6CC69A" w:rsidR="00F21CC7" w:rsidRPr="00E67BE0" w:rsidRDefault="003C2B85"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3.6</w:t>
            </w:r>
            <w:r w:rsidR="00F21CC7" w:rsidRPr="00E67BE0">
              <w:rPr>
                <w:rFonts w:ascii="Arial" w:eastAsia="Times New Roman" w:hAnsi="Arial" w:cs="Arial"/>
                <w:color w:val="000000"/>
                <w:lang w:eastAsia="es-MX"/>
              </w:rPr>
              <w:t xml:space="preserve"> </w:t>
            </w:r>
          </w:p>
        </w:tc>
        <w:tc>
          <w:tcPr>
            <w:tcW w:w="6840" w:type="dxa"/>
            <w:tcBorders>
              <w:top w:val="nil"/>
              <w:left w:val="nil"/>
              <w:bottom w:val="single" w:sz="4" w:space="0" w:color="auto"/>
              <w:right w:val="single" w:sz="4" w:space="0" w:color="auto"/>
            </w:tcBorders>
            <w:shd w:val="clear" w:color="auto" w:fill="auto"/>
            <w:vAlign w:val="center"/>
            <w:hideMark/>
          </w:tcPr>
          <w:p w14:paraId="3C3061F7"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Otros Gastos </w:t>
            </w:r>
          </w:p>
        </w:tc>
        <w:tc>
          <w:tcPr>
            <w:tcW w:w="1820" w:type="dxa"/>
            <w:gridSpan w:val="2"/>
            <w:tcBorders>
              <w:top w:val="nil"/>
              <w:left w:val="nil"/>
              <w:bottom w:val="single" w:sz="4" w:space="0" w:color="auto"/>
              <w:right w:val="single" w:sz="4" w:space="0" w:color="auto"/>
            </w:tcBorders>
            <w:shd w:val="clear" w:color="auto" w:fill="auto"/>
            <w:vAlign w:val="center"/>
            <w:hideMark/>
          </w:tcPr>
          <w:p w14:paraId="43ABC74D" w14:textId="77777777" w:rsidR="008E255E" w:rsidRDefault="008E255E" w:rsidP="008E255E">
            <w:pPr>
              <w:jc w:val="right"/>
              <w:rPr>
                <w:rFonts w:ascii="Arial" w:hAnsi="Arial" w:cs="Arial"/>
                <w:color w:val="000000"/>
              </w:rPr>
            </w:pPr>
            <w:r>
              <w:rPr>
                <w:rFonts w:ascii="Arial" w:hAnsi="Arial" w:cs="Arial"/>
                <w:color w:val="000000"/>
              </w:rPr>
              <w:t xml:space="preserve">                 18,322 </w:t>
            </w:r>
          </w:p>
          <w:p w14:paraId="272B1C72" w14:textId="36C1DF6A" w:rsidR="00F21CC7" w:rsidRPr="00E67BE0" w:rsidRDefault="00F21CC7" w:rsidP="008E255E">
            <w:pPr>
              <w:spacing w:after="0" w:line="240" w:lineRule="auto"/>
              <w:jc w:val="right"/>
              <w:rPr>
                <w:rFonts w:ascii="Arial" w:eastAsia="Times New Roman" w:hAnsi="Arial" w:cs="Arial"/>
                <w:color w:val="000000"/>
                <w:lang w:eastAsia="es-MX"/>
              </w:rPr>
            </w:pPr>
            <w:r w:rsidRPr="00E67BE0">
              <w:rPr>
                <w:rFonts w:ascii="Arial" w:eastAsia="Times New Roman" w:hAnsi="Arial" w:cs="Arial"/>
                <w:color w:val="000000"/>
                <w:lang w:eastAsia="es-MX"/>
              </w:rPr>
              <w:t xml:space="preserve">        </w:t>
            </w:r>
          </w:p>
        </w:tc>
      </w:tr>
      <w:tr w:rsidR="00F21CC7" w:rsidRPr="008E255E" w14:paraId="7AFF4ED4" w14:textId="77777777" w:rsidTr="00C40870">
        <w:trPr>
          <w:gridBefore w:val="1"/>
          <w:wBefore w:w="10" w:type="dxa"/>
          <w:trHeight w:val="504"/>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14:paraId="5B188AC6" w14:textId="35C2594D" w:rsidR="00F21CC7" w:rsidRPr="00E67BE0" w:rsidRDefault="003C2B85"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3.7</w:t>
            </w:r>
            <w:r w:rsidR="00F21CC7" w:rsidRPr="00E67BE0">
              <w:rPr>
                <w:rFonts w:ascii="Arial" w:eastAsia="Times New Roman" w:hAnsi="Arial" w:cs="Arial"/>
                <w:color w:val="000000"/>
                <w:lang w:eastAsia="es-MX"/>
              </w:rPr>
              <w:t xml:space="preserve"> </w:t>
            </w:r>
          </w:p>
        </w:tc>
        <w:tc>
          <w:tcPr>
            <w:tcW w:w="6840" w:type="dxa"/>
            <w:tcBorders>
              <w:top w:val="nil"/>
              <w:left w:val="nil"/>
              <w:bottom w:val="single" w:sz="4" w:space="0" w:color="auto"/>
              <w:right w:val="single" w:sz="4" w:space="0" w:color="auto"/>
            </w:tcBorders>
            <w:shd w:val="clear" w:color="auto" w:fill="auto"/>
            <w:vAlign w:val="center"/>
            <w:hideMark/>
          </w:tcPr>
          <w:p w14:paraId="5790A585"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xml:space="preserve"> Otros Gastos Contables No Presupuestarios </w:t>
            </w:r>
          </w:p>
        </w:tc>
        <w:tc>
          <w:tcPr>
            <w:tcW w:w="1820" w:type="dxa"/>
            <w:gridSpan w:val="2"/>
            <w:tcBorders>
              <w:top w:val="nil"/>
              <w:left w:val="nil"/>
              <w:bottom w:val="single" w:sz="4" w:space="0" w:color="auto"/>
              <w:right w:val="single" w:sz="4" w:space="0" w:color="auto"/>
            </w:tcBorders>
            <w:shd w:val="clear" w:color="auto" w:fill="auto"/>
            <w:noWrap/>
            <w:vAlign w:val="bottom"/>
            <w:hideMark/>
          </w:tcPr>
          <w:p w14:paraId="42BAAAF3" w14:textId="77777777" w:rsidR="008E255E" w:rsidRPr="008E255E" w:rsidRDefault="008E255E" w:rsidP="008E255E">
            <w:pPr>
              <w:jc w:val="right"/>
              <w:rPr>
                <w:rFonts w:ascii="Arial" w:hAnsi="Arial" w:cs="Arial"/>
                <w:bCs/>
                <w:color w:val="000000"/>
              </w:rPr>
            </w:pPr>
            <w:r w:rsidRPr="008E255E">
              <w:rPr>
                <w:rFonts w:ascii="Arial" w:hAnsi="Arial" w:cs="Arial"/>
                <w:bCs/>
                <w:color w:val="000000"/>
              </w:rPr>
              <w:t xml:space="preserve">     3,618,886,894 </w:t>
            </w:r>
          </w:p>
          <w:p w14:paraId="632AC61E" w14:textId="3A258394" w:rsidR="00F21CC7" w:rsidRPr="008E255E" w:rsidRDefault="00F21CC7" w:rsidP="008E255E">
            <w:pPr>
              <w:spacing w:after="0" w:line="240" w:lineRule="auto"/>
              <w:jc w:val="right"/>
              <w:rPr>
                <w:rFonts w:ascii="Arial" w:eastAsia="Times New Roman" w:hAnsi="Arial" w:cs="Arial"/>
                <w:bCs/>
                <w:color w:val="000000"/>
                <w:lang w:eastAsia="es-MX"/>
              </w:rPr>
            </w:pPr>
            <w:r w:rsidRPr="008E255E">
              <w:rPr>
                <w:rFonts w:ascii="Arial" w:eastAsia="Times New Roman" w:hAnsi="Arial" w:cs="Arial"/>
                <w:bCs/>
                <w:color w:val="000000"/>
                <w:lang w:eastAsia="es-MX"/>
              </w:rPr>
              <w:t xml:space="preserve">     </w:t>
            </w:r>
          </w:p>
        </w:tc>
      </w:tr>
      <w:tr w:rsidR="00F21CC7" w:rsidRPr="00E67BE0" w14:paraId="3A6BDAEF" w14:textId="77777777" w:rsidTr="006070C7">
        <w:trPr>
          <w:gridBefore w:val="1"/>
          <w:wBefore w:w="10" w:type="dxa"/>
          <w:trHeight w:val="319"/>
          <w:jc w:val="center"/>
        </w:trPr>
        <w:tc>
          <w:tcPr>
            <w:tcW w:w="7520" w:type="dxa"/>
            <w:gridSpan w:val="2"/>
            <w:tcBorders>
              <w:top w:val="single" w:sz="4" w:space="0" w:color="auto"/>
              <w:left w:val="single" w:sz="8" w:space="0" w:color="auto"/>
              <w:bottom w:val="nil"/>
              <w:right w:val="single" w:sz="4" w:space="0" w:color="auto"/>
            </w:tcBorders>
            <w:shd w:val="clear" w:color="auto" w:fill="auto"/>
            <w:vAlign w:val="center"/>
            <w:hideMark/>
          </w:tcPr>
          <w:p w14:paraId="2F80045E" w14:textId="77777777" w:rsidR="00F21CC7" w:rsidRPr="00E67BE0" w:rsidRDefault="00F21CC7" w:rsidP="00F21CC7">
            <w:pPr>
              <w:spacing w:after="0" w:line="240" w:lineRule="auto"/>
              <w:jc w:val="both"/>
              <w:rPr>
                <w:rFonts w:ascii="Arial" w:eastAsia="Times New Roman" w:hAnsi="Arial" w:cs="Arial"/>
                <w:color w:val="000000"/>
                <w:lang w:eastAsia="es-MX"/>
              </w:rPr>
            </w:pPr>
            <w:r w:rsidRPr="00E67BE0">
              <w:rPr>
                <w:rFonts w:ascii="Arial" w:eastAsia="Times New Roman" w:hAnsi="Arial" w:cs="Arial"/>
                <w:color w:val="000000"/>
                <w:lang w:eastAsia="es-MX"/>
              </w:rPr>
              <w:t> </w:t>
            </w:r>
          </w:p>
        </w:tc>
        <w:tc>
          <w:tcPr>
            <w:tcW w:w="1820" w:type="dxa"/>
            <w:gridSpan w:val="2"/>
            <w:tcBorders>
              <w:top w:val="nil"/>
              <w:left w:val="nil"/>
              <w:bottom w:val="single" w:sz="8" w:space="0" w:color="auto"/>
              <w:right w:val="single" w:sz="4" w:space="0" w:color="auto"/>
            </w:tcBorders>
            <w:shd w:val="clear" w:color="auto" w:fill="auto"/>
            <w:vAlign w:val="center"/>
            <w:hideMark/>
          </w:tcPr>
          <w:p w14:paraId="5D344C9C" w14:textId="77777777" w:rsidR="00F21CC7" w:rsidRPr="00E67BE0" w:rsidRDefault="00F21CC7" w:rsidP="00F21CC7">
            <w:pPr>
              <w:spacing w:after="0" w:line="240" w:lineRule="auto"/>
              <w:rPr>
                <w:rFonts w:ascii="Arial" w:eastAsia="Times New Roman" w:hAnsi="Arial" w:cs="Arial"/>
                <w:color w:val="000000"/>
                <w:lang w:eastAsia="es-MX"/>
              </w:rPr>
            </w:pPr>
            <w:r w:rsidRPr="00E67BE0">
              <w:rPr>
                <w:rFonts w:ascii="Arial" w:eastAsia="Times New Roman" w:hAnsi="Arial" w:cs="Arial"/>
                <w:color w:val="000000"/>
                <w:lang w:eastAsia="es-MX"/>
              </w:rPr>
              <w:t> </w:t>
            </w:r>
          </w:p>
        </w:tc>
      </w:tr>
      <w:tr w:rsidR="00F21CC7" w:rsidRPr="00E67BE0" w14:paraId="6E6E401F" w14:textId="77777777" w:rsidTr="006070C7">
        <w:trPr>
          <w:gridBefore w:val="1"/>
          <w:wBefore w:w="10" w:type="dxa"/>
          <w:trHeight w:val="319"/>
          <w:jc w:val="center"/>
        </w:trPr>
        <w:tc>
          <w:tcPr>
            <w:tcW w:w="7520" w:type="dxa"/>
            <w:gridSpan w:val="2"/>
            <w:tcBorders>
              <w:top w:val="single" w:sz="8" w:space="0" w:color="auto"/>
              <w:left w:val="single" w:sz="8" w:space="0" w:color="auto"/>
              <w:bottom w:val="single" w:sz="8" w:space="0" w:color="auto"/>
              <w:right w:val="single" w:sz="4" w:space="0" w:color="auto"/>
            </w:tcBorders>
            <w:shd w:val="clear" w:color="000000" w:fill="C0C0C0"/>
            <w:vAlign w:val="center"/>
            <w:hideMark/>
          </w:tcPr>
          <w:p w14:paraId="56BAC9A1" w14:textId="77777777" w:rsidR="00F21CC7" w:rsidRPr="00E67BE0" w:rsidRDefault="00F21CC7" w:rsidP="00F21CC7">
            <w:pPr>
              <w:spacing w:after="0" w:line="240" w:lineRule="auto"/>
              <w:jc w:val="both"/>
              <w:rPr>
                <w:rFonts w:ascii="Arial" w:eastAsia="Times New Roman" w:hAnsi="Arial" w:cs="Arial"/>
                <w:b/>
                <w:bCs/>
                <w:color w:val="000000"/>
                <w:lang w:eastAsia="es-MX"/>
              </w:rPr>
            </w:pPr>
            <w:r w:rsidRPr="00E67BE0">
              <w:rPr>
                <w:rFonts w:ascii="Arial" w:eastAsia="Times New Roman" w:hAnsi="Arial" w:cs="Arial"/>
                <w:b/>
                <w:bCs/>
                <w:color w:val="000000"/>
                <w:lang w:eastAsia="es-MX"/>
              </w:rPr>
              <w:t xml:space="preserve"> 4. Total de Gastos Contables </w:t>
            </w:r>
          </w:p>
        </w:tc>
        <w:tc>
          <w:tcPr>
            <w:tcW w:w="1820" w:type="dxa"/>
            <w:gridSpan w:val="2"/>
            <w:tcBorders>
              <w:top w:val="nil"/>
              <w:left w:val="nil"/>
              <w:bottom w:val="single" w:sz="8" w:space="0" w:color="auto"/>
              <w:right w:val="single" w:sz="8" w:space="0" w:color="auto"/>
            </w:tcBorders>
            <w:shd w:val="clear" w:color="000000" w:fill="BFBFBF"/>
            <w:vAlign w:val="center"/>
            <w:hideMark/>
          </w:tcPr>
          <w:p w14:paraId="56D61847" w14:textId="36C46F24" w:rsidR="00F21CC7" w:rsidRPr="00E67BE0" w:rsidRDefault="0088646E" w:rsidP="001A5BBB">
            <w:pPr>
              <w:spacing w:after="0" w:line="240" w:lineRule="auto"/>
              <w:jc w:val="right"/>
              <w:rPr>
                <w:rFonts w:ascii="Arial" w:eastAsia="Times New Roman" w:hAnsi="Arial" w:cs="Arial"/>
                <w:b/>
                <w:bCs/>
                <w:color w:val="000000"/>
                <w:lang w:eastAsia="es-MX"/>
              </w:rPr>
            </w:pPr>
            <w:r w:rsidRPr="00E67BE0">
              <w:rPr>
                <w:rFonts w:ascii="Arial" w:eastAsia="Times New Roman" w:hAnsi="Arial" w:cs="Arial"/>
                <w:b/>
                <w:bCs/>
                <w:color w:val="000000"/>
                <w:lang w:eastAsia="es-MX"/>
              </w:rPr>
              <w:t xml:space="preserve">   57,897,778,216</w:t>
            </w:r>
            <w:r w:rsidR="00F21CC7" w:rsidRPr="00E67BE0">
              <w:rPr>
                <w:rFonts w:ascii="Arial" w:eastAsia="Times New Roman" w:hAnsi="Arial" w:cs="Arial"/>
                <w:b/>
                <w:bCs/>
                <w:color w:val="000000"/>
                <w:lang w:eastAsia="es-MX"/>
              </w:rPr>
              <w:t xml:space="preserve"> </w:t>
            </w:r>
          </w:p>
        </w:tc>
      </w:tr>
      <w:tr w:rsidR="00F21CC7" w:rsidRPr="00E67BE0" w14:paraId="51EDD531" w14:textId="77777777" w:rsidTr="006070C7">
        <w:trPr>
          <w:gridAfter w:val="1"/>
          <w:wAfter w:w="10" w:type="dxa"/>
          <w:trHeight w:val="300"/>
          <w:jc w:val="center"/>
        </w:trPr>
        <w:tc>
          <w:tcPr>
            <w:tcW w:w="9340" w:type="dxa"/>
            <w:gridSpan w:val="4"/>
            <w:vMerge w:val="restart"/>
            <w:tcBorders>
              <w:top w:val="nil"/>
              <w:left w:val="nil"/>
              <w:bottom w:val="nil"/>
              <w:right w:val="nil"/>
            </w:tcBorders>
            <w:shd w:val="clear" w:color="auto" w:fill="auto"/>
            <w:hideMark/>
          </w:tcPr>
          <w:p w14:paraId="7D45E902" w14:textId="77777777" w:rsidR="00F21CC7" w:rsidRPr="001B6F1E" w:rsidRDefault="00F21CC7" w:rsidP="00016134">
            <w:pPr>
              <w:spacing w:after="0" w:line="240" w:lineRule="auto"/>
              <w:jc w:val="both"/>
              <w:rPr>
                <w:rFonts w:ascii="Arial" w:eastAsia="Times New Roman" w:hAnsi="Arial" w:cs="Arial"/>
                <w:color w:val="000000"/>
                <w:sz w:val="20"/>
                <w:szCs w:val="20"/>
                <w:lang w:eastAsia="es-MX"/>
              </w:rPr>
            </w:pPr>
          </w:p>
          <w:p w14:paraId="06C6BB28" w14:textId="5FD382FD" w:rsidR="00516F77" w:rsidRDefault="00DE0B03" w:rsidP="00016134">
            <w:pPr>
              <w:spacing w:after="0" w:line="240" w:lineRule="auto"/>
              <w:jc w:val="both"/>
              <w:rPr>
                <w:rFonts w:ascii="Arial" w:eastAsia="Times New Roman" w:hAnsi="Arial" w:cs="Arial"/>
                <w:color w:val="000000"/>
                <w:sz w:val="20"/>
                <w:szCs w:val="20"/>
                <w:lang w:eastAsia="es-MX"/>
              </w:rPr>
            </w:pPr>
            <w:r w:rsidRPr="00C73526">
              <w:rPr>
                <w:rFonts w:ascii="Arial" w:eastAsia="Times New Roman" w:hAnsi="Arial" w:cs="Arial"/>
                <w:color w:val="000000"/>
                <w:sz w:val="20"/>
                <w:szCs w:val="20"/>
                <w:lang w:eastAsia="es-MX"/>
              </w:rPr>
              <w:t>Nota: El renglón 2.19 Amortización de la Deuda Pública incluye las Obligaciones Quirografarias de corto plazo</w:t>
            </w:r>
            <w:r w:rsidR="00E17293" w:rsidRPr="00C73526">
              <w:rPr>
                <w:rFonts w:ascii="Arial" w:eastAsia="Times New Roman" w:hAnsi="Arial" w:cs="Arial"/>
                <w:color w:val="000000"/>
                <w:sz w:val="20"/>
                <w:szCs w:val="20"/>
                <w:lang w:eastAsia="es-MX"/>
              </w:rPr>
              <w:t xml:space="preserve"> por $4,260,583,994 contratadas en los términos</w:t>
            </w:r>
            <w:r w:rsidR="00FA4925" w:rsidRPr="00C73526">
              <w:rPr>
                <w:rFonts w:ascii="Arial" w:eastAsia="Times New Roman" w:hAnsi="Arial" w:cs="Arial"/>
                <w:color w:val="000000"/>
                <w:sz w:val="20"/>
                <w:szCs w:val="20"/>
                <w:lang w:eastAsia="es-MX"/>
              </w:rPr>
              <w:t xml:space="preserve"> de</w:t>
            </w:r>
            <w:r w:rsidR="00A4589E" w:rsidRPr="00C73526">
              <w:rPr>
                <w:rFonts w:ascii="Arial" w:eastAsia="Times New Roman" w:hAnsi="Arial" w:cs="Arial"/>
                <w:color w:val="000000"/>
                <w:sz w:val="20"/>
                <w:szCs w:val="20"/>
                <w:lang w:eastAsia="es-MX"/>
              </w:rPr>
              <w:t>l</w:t>
            </w:r>
            <w:r w:rsidR="00FA4925" w:rsidRPr="00C73526">
              <w:rPr>
                <w:rFonts w:ascii="Arial" w:eastAsia="Times New Roman" w:hAnsi="Arial" w:cs="Arial"/>
                <w:color w:val="000000"/>
                <w:sz w:val="20"/>
                <w:szCs w:val="20"/>
                <w:lang w:eastAsia="es-MX"/>
              </w:rPr>
              <w:t xml:space="preserve"> art.30 de la Ley de Disciplina Financiera de las Entidades Federativas y Municipios.</w:t>
            </w:r>
          </w:p>
          <w:p w14:paraId="50550FF5" w14:textId="77777777" w:rsidR="009A40DA" w:rsidRPr="00C73526" w:rsidRDefault="009A40DA" w:rsidP="00016134">
            <w:pPr>
              <w:spacing w:after="0" w:line="240" w:lineRule="auto"/>
              <w:jc w:val="both"/>
              <w:rPr>
                <w:rFonts w:ascii="Arial" w:eastAsia="Times New Roman" w:hAnsi="Arial" w:cs="Arial"/>
                <w:color w:val="000000"/>
                <w:sz w:val="20"/>
                <w:szCs w:val="20"/>
                <w:lang w:eastAsia="es-MX"/>
              </w:rPr>
            </w:pPr>
          </w:p>
          <w:p w14:paraId="110694F2" w14:textId="6F156C9D" w:rsidR="00516F77" w:rsidRPr="00C73526" w:rsidRDefault="00516F77" w:rsidP="00016134">
            <w:pPr>
              <w:spacing w:after="0" w:line="240" w:lineRule="auto"/>
              <w:jc w:val="both"/>
              <w:rPr>
                <w:rFonts w:ascii="Arial" w:eastAsia="Times New Roman" w:hAnsi="Arial" w:cs="Arial"/>
                <w:color w:val="000000"/>
                <w:sz w:val="20"/>
                <w:szCs w:val="20"/>
                <w:lang w:eastAsia="es-MX"/>
              </w:rPr>
            </w:pPr>
            <w:r w:rsidRPr="00C73526">
              <w:rPr>
                <w:rFonts w:ascii="Arial" w:eastAsia="Times New Roman" w:hAnsi="Arial" w:cs="Arial"/>
                <w:color w:val="000000"/>
                <w:sz w:val="20"/>
                <w:szCs w:val="20"/>
                <w:lang w:eastAsia="es-MX"/>
              </w:rPr>
              <w:lastRenderedPageBreak/>
              <w:t>Otros Gastos contables no</w:t>
            </w:r>
            <w:r w:rsidR="006E53D1">
              <w:rPr>
                <w:rFonts w:ascii="Arial" w:eastAsia="Times New Roman" w:hAnsi="Arial" w:cs="Arial"/>
                <w:color w:val="000000"/>
                <w:sz w:val="20"/>
                <w:szCs w:val="20"/>
                <w:lang w:eastAsia="es-MX"/>
              </w:rPr>
              <w:t xml:space="preserve"> presupuestarios</w:t>
            </w:r>
            <w:r w:rsidRPr="00C73526">
              <w:rPr>
                <w:rFonts w:ascii="Arial" w:eastAsia="Times New Roman" w:hAnsi="Arial" w:cs="Arial"/>
                <w:color w:val="000000"/>
                <w:sz w:val="20"/>
                <w:szCs w:val="20"/>
                <w:lang w:eastAsia="es-MX"/>
              </w:rPr>
              <w:t xml:space="preserve"> renglón</w:t>
            </w:r>
            <w:r w:rsidR="00F95AA1">
              <w:rPr>
                <w:rFonts w:ascii="Arial" w:eastAsia="Times New Roman" w:hAnsi="Arial" w:cs="Arial"/>
                <w:color w:val="000000"/>
                <w:sz w:val="20"/>
                <w:szCs w:val="20"/>
                <w:lang w:eastAsia="es-MX"/>
              </w:rPr>
              <w:t xml:space="preserve"> </w:t>
            </w:r>
            <w:r w:rsidRPr="00C73526">
              <w:rPr>
                <w:rFonts w:ascii="Arial" w:eastAsia="Times New Roman" w:hAnsi="Arial" w:cs="Arial"/>
                <w:color w:val="000000"/>
                <w:sz w:val="20"/>
                <w:szCs w:val="20"/>
                <w:lang w:eastAsia="es-MX"/>
              </w:rPr>
              <w:t xml:space="preserve">3.7 por $3,618,886,894 se integra por el consumo de materiales y suministros por $1,242,178,255, el cual se compensa con el renglón 2.1 y 2.2 de acuerdo al CONAC </w:t>
            </w:r>
            <w:r w:rsidR="00154D08">
              <w:rPr>
                <w:rFonts w:ascii="Arial" w:eastAsia="Times New Roman" w:hAnsi="Arial" w:cs="Arial"/>
                <w:color w:val="000000"/>
                <w:sz w:val="20"/>
                <w:szCs w:val="20"/>
                <w:lang w:eastAsia="es-MX"/>
              </w:rPr>
              <w:t>(L</w:t>
            </w:r>
            <w:r w:rsidRPr="00C73526">
              <w:rPr>
                <w:rFonts w:ascii="Arial" w:eastAsia="Times New Roman" w:hAnsi="Arial" w:cs="Arial"/>
                <w:color w:val="000000"/>
                <w:sz w:val="20"/>
                <w:szCs w:val="20"/>
                <w:lang w:eastAsia="es-MX"/>
              </w:rPr>
              <w:t>a diferencia entre lo presupuestado y el consumo</w:t>
            </w:r>
            <w:r w:rsidR="00154D08">
              <w:rPr>
                <w:rFonts w:ascii="Arial" w:eastAsia="Times New Roman" w:hAnsi="Arial" w:cs="Arial"/>
                <w:color w:val="000000"/>
                <w:sz w:val="20"/>
                <w:szCs w:val="20"/>
                <w:lang w:eastAsia="es-MX"/>
              </w:rPr>
              <w:t xml:space="preserve"> de materiales por </w:t>
            </w:r>
            <w:r w:rsidRPr="00C73526">
              <w:rPr>
                <w:rFonts w:ascii="Arial" w:eastAsia="Times New Roman" w:hAnsi="Arial" w:cs="Arial"/>
                <w:color w:val="000000"/>
                <w:sz w:val="20"/>
                <w:szCs w:val="20"/>
                <w:lang w:eastAsia="es-MX"/>
              </w:rPr>
              <w:t>$103,645,8</w:t>
            </w:r>
            <w:r w:rsidR="00077E85">
              <w:rPr>
                <w:rFonts w:ascii="Arial" w:eastAsia="Times New Roman" w:hAnsi="Arial" w:cs="Arial"/>
                <w:color w:val="000000"/>
                <w:sz w:val="20"/>
                <w:szCs w:val="20"/>
                <w:lang w:eastAsia="es-MX"/>
              </w:rPr>
              <w:t>16 es por</w:t>
            </w:r>
            <w:r w:rsidR="00077641">
              <w:rPr>
                <w:rFonts w:ascii="Arial" w:eastAsia="Times New Roman" w:hAnsi="Arial" w:cs="Arial"/>
                <w:color w:val="000000"/>
                <w:sz w:val="20"/>
                <w:szCs w:val="20"/>
                <w:lang w:eastAsia="es-MX"/>
              </w:rPr>
              <w:t xml:space="preserve"> consumos de almacé</w:t>
            </w:r>
            <w:r w:rsidR="00154D08">
              <w:rPr>
                <w:rFonts w:ascii="Arial" w:eastAsia="Times New Roman" w:hAnsi="Arial" w:cs="Arial"/>
                <w:color w:val="000000"/>
                <w:sz w:val="20"/>
                <w:szCs w:val="20"/>
                <w:lang w:eastAsia="es-MX"/>
              </w:rPr>
              <w:t>n)</w:t>
            </w:r>
            <w:r w:rsidRPr="00C73526">
              <w:rPr>
                <w:rFonts w:ascii="Arial" w:eastAsia="Times New Roman" w:hAnsi="Arial" w:cs="Arial"/>
                <w:color w:val="000000"/>
                <w:sz w:val="20"/>
                <w:szCs w:val="20"/>
                <w:lang w:eastAsia="es-MX"/>
              </w:rPr>
              <w:t xml:space="preserve"> más Otros Gastos Contables no Presupuestarios por Se</w:t>
            </w:r>
            <w:r w:rsidR="00C00CE2">
              <w:rPr>
                <w:rFonts w:ascii="Arial" w:eastAsia="Times New Roman" w:hAnsi="Arial" w:cs="Arial"/>
                <w:color w:val="000000"/>
                <w:sz w:val="20"/>
                <w:szCs w:val="20"/>
                <w:lang w:eastAsia="es-MX"/>
              </w:rPr>
              <w:t>rvicios Personales $396,996,167 más</w:t>
            </w:r>
            <w:r w:rsidRPr="00C73526">
              <w:rPr>
                <w:rFonts w:ascii="Arial" w:eastAsia="Times New Roman" w:hAnsi="Arial" w:cs="Arial"/>
                <w:color w:val="000000"/>
                <w:sz w:val="20"/>
                <w:szCs w:val="20"/>
                <w:lang w:eastAsia="es-MX"/>
              </w:rPr>
              <w:t xml:space="preserve"> Transferencias, </w:t>
            </w:r>
            <w:proofErr w:type="spellStart"/>
            <w:r w:rsidRPr="00C73526">
              <w:rPr>
                <w:rFonts w:ascii="Arial" w:eastAsia="Times New Roman" w:hAnsi="Arial" w:cs="Arial"/>
                <w:color w:val="000000"/>
                <w:sz w:val="20"/>
                <w:szCs w:val="20"/>
                <w:lang w:eastAsia="es-MX"/>
              </w:rPr>
              <w:t>Asign.Subs</w:t>
            </w:r>
            <w:proofErr w:type="spellEnd"/>
            <w:r w:rsidRPr="00C73526">
              <w:rPr>
                <w:rFonts w:ascii="Arial" w:eastAsia="Times New Roman" w:hAnsi="Arial" w:cs="Arial"/>
                <w:color w:val="000000"/>
                <w:sz w:val="20"/>
                <w:szCs w:val="20"/>
                <w:lang w:eastAsia="es-MX"/>
              </w:rPr>
              <w:t xml:space="preserve">. </w:t>
            </w:r>
            <w:proofErr w:type="gramStart"/>
            <w:r w:rsidRPr="00C73526">
              <w:rPr>
                <w:rFonts w:ascii="Arial" w:eastAsia="Times New Roman" w:hAnsi="Arial" w:cs="Arial"/>
                <w:color w:val="000000"/>
                <w:sz w:val="20"/>
                <w:szCs w:val="20"/>
                <w:lang w:eastAsia="es-MX"/>
              </w:rPr>
              <w:t>y</w:t>
            </w:r>
            <w:proofErr w:type="gramEnd"/>
            <w:r w:rsidRPr="00C73526">
              <w:rPr>
                <w:rFonts w:ascii="Arial" w:eastAsia="Times New Roman" w:hAnsi="Arial" w:cs="Arial"/>
                <w:color w:val="000000"/>
                <w:sz w:val="20"/>
                <w:szCs w:val="20"/>
                <w:lang w:eastAsia="es-MX"/>
              </w:rPr>
              <w:t xml:space="preserve"> Otras a</w:t>
            </w:r>
            <w:r w:rsidR="00633C01">
              <w:rPr>
                <w:rFonts w:ascii="Arial" w:eastAsia="Times New Roman" w:hAnsi="Arial" w:cs="Arial"/>
                <w:color w:val="000000"/>
                <w:sz w:val="20"/>
                <w:szCs w:val="20"/>
                <w:lang w:eastAsia="es-MX"/>
              </w:rPr>
              <w:t>yudas  $718,834 más Inversión Pú</w:t>
            </w:r>
            <w:r w:rsidRPr="00C73526">
              <w:rPr>
                <w:rFonts w:ascii="Arial" w:eastAsia="Times New Roman" w:hAnsi="Arial" w:cs="Arial"/>
                <w:color w:val="000000"/>
                <w:sz w:val="20"/>
                <w:szCs w:val="20"/>
                <w:lang w:eastAsia="es-MX"/>
              </w:rPr>
              <w:t xml:space="preserve">blica por Obras en Proceso </w:t>
            </w:r>
            <w:proofErr w:type="spellStart"/>
            <w:r w:rsidRPr="00C73526">
              <w:rPr>
                <w:rFonts w:ascii="Arial" w:eastAsia="Times New Roman" w:hAnsi="Arial" w:cs="Arial"/>
                <w:color w:val="000000"/>
                <w:sz w:val="20"/>
                <w:szCs w:val="20"/>
                <w:lang w:eastAsia="es-MX"/>
              </w:rPr>
              <w:t>Términadas</w:t>
            </w:r>
            <w:proofErr w:type="spellEnd"/>
            <w:r w:rsidRPr="00C73526">
              <w:rPr>
                <w:rFonts w:ascii="Arial" w:eastAsia="Times New Roman" w:hAnsi="Arial" w:cs="Arial"/>
                <w:color w:val="000000"/>
                <w:sz w:val="20"/>
                <w:szCs w:val="20"/>
                <w:lang w:eastAsia="es-MX"/>
              </w:rPr>
              <w:t xml:space="preserve"> no Capitalizables del Ejercicio $1,978,993,638.</w:t>
            </w:r>
          </w:p>
          <w:p w14:paraId="448CD038" w14:textId="77777777" w:rsidR="00516F77" w:rsidRPr="00C73526" w:rsidRDefault="00516F77" w:rsidP="00016134">
            <w:pPr>
              <w:spacing w:after="0" w:line="240" w:lineRule="auto"/>
              <w:jc w:val="both"/>
              <w:rPr>
                <w:rFonts w:ascii="Arial" w:eastAsia="Times New Roman" w:hAnsi="Arial" w:cs="Arial"/>
                <w:color w:val="000000"/>
                <w:sz w:val="20"/>
                <w:szCs w:val="20"/>
                <w:lang w:eastAsia="es-MX"/>
              </w:rPr>
            </w:pPr>
          </w:p>
          <w:p w14:paraId="691CD90C" w14:textId="77777777" w:rsidR="00516F77" w:rsidRPr="00C73526" w:rsidRDefault="00516F77" w:rsidP="00016134">
            <w:pPr>
              <w:spacing w:after="0" w:line="240" w:lineRule="auto"/>
              <w:jc w:val="both"/>
              <w:rPr>
                <w:rFonts w:ascii="Arial" w:eastAsia="Times New Roman" w:hAnsi="Arial" w:cs="Arial"/>
                <w:color w:val="000000"/>
                <w:sz w:val="20"/>
                <w:szCs w:val="20"/>
                <w:lang w:eastAsia="es-MX"/>
              </w:rPr>
            </w:pPr>
          </w:p>
          <w:p w14:paraId="12BF7FFF" w14:textId="77777777" w:rsidR="00516F77" w:rsidRDefault="00516F77" w:rsidP="00016134">
            <w:pPr>
              <w:spacing w:after="0" w:line="240" w:lineRule="auto"/>
              <w:jc w:val="both"/>
              <w:rPr>
                <w:rFonts w:ascii="Arial" w:eastAsia="Times New Roman" w:hAnsi="Arial" w:cs="Arial"/>
                <w:color w:val="000000"/>
                <w:sz w:val="20"/>
                <w:szCs w:val="20"/>
                <w:lang w:eastAsia="es-MX"/>
              </w:rPr>
            </w:pPr>
          </w:p>
          <w:p w14:paraId="5BD33D91" w14:textId="0E3CF410" w:rsidR="00F21CC7" w:rsidRPr="001B6F1E" w:rsidRDefault="00F21CC7" w:rsidP="00016134">
            <w:pPr>
              <w:spacing w:after="0" w:line="240" w:lineRule="auto"/>
              <w:jc w:val="both"/>
              <w:rPr>
                <w:rFonts w:ascii="Arial" w:eastAsia="Times New Roman" w:hAnsi="Arial" w:cs="Arial"/>
                <w:color w:val="000000"/>
                <w:sz w:val="20"/>
                <w:szCs w:val="20"/>
                <w:lang w:eastAsia="es-MX"/>
              </w:rPr>
            </w:pPr>
          </w:p>
        </w:tc>
      </w:tr>
      <w:tr w:rsidR="00F21CC7" w:rsidRPr="00E67BE0" w14:paraId="46CF82F7" w14:textId="77777777" w:rsidTr="006070C7">
        <w:trPr>
          <w:gridAfter w:val="1"/>
          <w:wAfter w:w="10" w:type="dxa"/>
          <w:trHeight w:val="585"/>
          <w:jc w:val="center"/>
        </w:trPr>
        <w:tc>
          <w:tcPr>
            <w:tcW w:w="9340" w:type="dxa"/>
            <w:gridSpan w:val="4"/>
            <w:vMerge/>
            <w:tcBorders>
              <w:top w:val="nil"/>
              <w:left w:val="nil"/>
              <w:bottom w:val="nil"/>
              <w:right w:val="nil"/>
            </w:tcBorders>
            <w:vAlign w:val="center"/>
            <w:hideMark/>
          </w:tcPr>
          <w:p w14:paraId="2C1899C2" w14:textId="77777777" w:rsidR="00F21CC7" w:rsidRPr="00E67BE0" w:rsidRDefault="00F21CC7" w:rsidP="00F21CC7">
            <w:pPr>
              <w:spacing w:after="0" w:line="240" w:lineRule="auto"/>
              <w:jc w:val="left"/>
              <w:rPr>
                <w:rFonts w:ascii="Arial" w:eastAsia="Times New Roman" w:hAnsi="Arial" w:cs="Arial"/>
                <w:color w:val="000000"/>
                <w:lang w:eastAsia="es-MX"/>
              </w:rPr>
            </w:pPr>
          </w:p>
        </w:tc>
      </w:tr>
      <w:tr w:rsidR="00F21CC7" w:rsidRPr="00E67BE0" w14:paraId="2BB5FC11" w14:textId="77777777" w:rsidTr="006070C7">
        <w:trPr>
          <w:gridAfter w:val="1"/>
          <w:wAfter w:w="10" w:type="dxa"/>
          <w:trHeight w:val="521"/>
          <w:jc w:val="center"/>
        </w:trPr>
        <w:tc>
          <w:tcPr>
            <w:tcW w:w="9340" w:type="dxa"/>
            <w:gridSpan w:val="4"/>
            <w:vMerge/>
            <w:tcBorders>
              <w:top w:val="nil"/>
              <w:left w:val="nil"/>
              <w:bottom w:val="nil"/>
              <w:right w:val="nil"/>
            </w:tcBorders>
            <w:vAlign w:val="center"/>
            <w:hideMark/>
          </w:tcPr>
          <w:p w14:paraId="21E00F41" w14:textId="77777777" w:rsidR="00F21CC7" w:rsidRPr="00E67BE0" w:rsidRDefault="00F21CC7" w:rsidP="00F21CC7">
            <w:pPr>
              <w:spacing w:after="0" w:line="240" w:lineRule="auto"/>
              <w:jc w:val="left"/>
              <w:rPr>
                <w:rFonts w:ascii="Arial" w:eastAsia="Times New Roman" w:hAnsi="Arial" w:cs="Arial"/>
                <w:color w:val="000000"/>
                <w:lang w:eastAsia="es-MX"/>
              </w:rPr>
            </w:pPr>
          </w:p>
        </w:tc>
      </w:tr>
      <w:tr w:rsidR="00F21CC7" w:rsidRPr="00E67BE0" w14:paraId="6936FAF1" w14:textId="77777777" w:rsidTr="006070C7">
        <w:trPr>
          <w:gridAfter w:val="1"/>
          <w:wAfter w:w="10" w:type="dxa"/>
          <w:trHeight w:val="521"/>
          <w:jc w:val="center"/>
        </w:trPr>
        <w:tc>
          <w:tcPr>
            <w:tcW w:w="9340" w:type="dxa"/>
            <w:gridSpan w:val="4"/>
            <w:vMerge/>
            <w:tcBorders>
              <w:top w:val="nil"/>
              <w:left w:val="nil"/>
              <w:bottom w:val="nil"/>
              <w:right w:val="nil"/>
            </w:tcBorders>
            <w:vAlign w:val="center"/>
            <w:hideMark/>
          </w:tcPr>
          <w:p w14:paraId="7F93EEA4" w14:textId="77777777" w:rsidR="00F21CC7" w:rsidRPr="00E67BE0" w:rsidRDefault="00F21CC7" w:rsidP="00F21CC7">
            <w:pPr>
              <w:spacing w:after="0" w:line="240" w:lineRule="auto"/>
              <w:jc w:val="left"/>
              <w:rPr>
                <w:rFonts w:ascii="Arial" w:eastAsia="Times New Roman" w:hAnsi="Arial" w:cs="Arial"/>
                <w:color w:val="000000"/>
                <w:lang w:eastAsia="es-MX"/>
              </w:rPr>
            </w:pPr>
          </w:p>
        </w:tc>
      </w:tr>
    </w:tbl>
    <w:p w14:paraId="15C856CE" w14:textId="36946A01" w:rsidR="00837428" w:rsidRPr="00E67BE0" w:rsidRDefault="00480476" w:rsidP="000A4C31">
      <w:pPr>
        <w:spacing w:before="240" w:after="0" w:line="240" w:lineRule="auto"/>
        <w:rPr>
          <w:rFonts w:ascii="Arial" w:eastAsia="Calibri" w:hAnsi="Arial" w:cs="Arial"/>
          <w:b/>
        </w:rPr>
      </w:pPr>
      <w:r w:rsidRPr="00E67BE0">
        <w:rPr>
          <w:rFonts w:ascii="Arial" w:eastAsia="Calibri" w:hAnsi="Arial" w:cs="Arial"/>
          <w:b/>
        </w:rPr>
        <w:t>b) NOTAS DE MEMORI</w:t>
      </w:r>
      <w:r w:rsidR="00653E9B" w:rsidRPr="00E67BE0">
        <w:rPr>
          <w:rFonts w:ascii="Arial" w:eastAsia="Calibri" w:hAnsi="Arial" w:cs="Arial"/>
          <w:b/>
        </w:rPr>
        <w:t>A</w:t>
      </w:r>
    </w:p>
    <w:p w14:paraId="7D624363" w14:textId="77777777" w:rsidR="00E340DF" w:rsidRPr="00E67BE0" w:rsidRDefault="00E340DF" w:rsidP="000A4C31">
      <w:pPr>
        <w:spacing w:before="240" w:after="0" w:line="240" w:lineRule="auto"/>
        <w:rPr>
          <w:rFonts w:ascii="Arial" w:eastAsia="Calibri" w:hAnsi="Arial" w:cs="Arial"/>
          <w:b/>
        </w:rPr>
      </w:pPr>
    </w:p>
    <w:p w14:paraId="21460206" w14:textId="1AAD1422" w:rsidR="00837428" w:rsidRPr="00E67BE0" w:rsidRDefault="00912CBB" w:rsidP="000A4C31">
      <w:pPr>
        <w:spacing w:before="240" w:after="0" w:line="240" w:lineRule="auto"/>
        <w:rPr>
          <w:rFonts w:ascii="Arial" w:eastAsia="Calibri" w:hAnsi="Arial" w:cs="Arial"/>
          <w:b/>
        </w:rPr>
      </w:pPr>
      <w:r w:rsidRPr="00E67BE0">
        <w:rPr>
          <w:rFonts w:ascii="Arial" w:eastAsia="Calibri" w:hAnsi="Arial" w:cs="Arial"/>
          <w:b/>
        </w:rPr>
        <w:t>(Cuentas de Orden)</w:t>
      </w:r>
    </w:p>
    <w:p w14:paraId="4134DD09" w14:textId="77777777" w:rsidR="008F1BDA" w:rsidRPr="00E67BE0" w:rsidRDefault="008F1BDA" w:rsidP="000A4C31">
      <w:pPr>
        <w:spacing w:before="240" w:after="0" w:line="240" w:lineRule="auto"/>
        <w:rPr>
          <w:rFonts w:ascii="Arial" w:eastAsia="Calibri" w:hAnsi="Arial" w:cs="Arial"/>
          <w:b/>
        </w:rPr>
      </w:pPr>
    </w:p>
    <w:p w14:paraId="0D208439" w14:textId="51063461" w:rsidR="00042F62" w:rsidRPr="00E67BE0" w:rsidRDefault="00EC738F" w:rsidP="000A4C31">
      <w:pPr>
        <w:spacing w:before="240" w:line="240" w:lineRule="auto"/>
        <w:ind w:right="75"/>
        <w:jc w:val="both"/>
        <w:rPr>
          <w:rFonts w:ascii="Arial" w:eastAsia="DIN Next LT Pro Condensed" w:hAnsi="Arial" w:cs="Arial"/>
        </w:rPr>
      </w:pPr>
      <w:r w:rsidRPr="00E67BE0">
        <w:rPr>
          <w:rFonts w:ascii="Arial" w:eastAsia="DIN Next LT Pro Condensed" w:hAnsi="Arial" w:cs="Arial"/>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4FBE5ACE" w14:textId="77777777" w:rsidR="008F1BDA" w:rsidRPr="00E67BE0" w:rsidRDefault="008F1BDA" w:rsidP="000A4C31">
      <w:pPr>
        <w:spacing w:line="240" w:lineRule="auto"/>
        <w:jc w:val="both"/>
        <w:rPr>
          <w:rFonts w:ascii="Arial" w:eastAsia="Times New Roman" w:hAnsi="Arial" w:cs="Arial"/>
          <w:b/>
          <w:lang w:eastAsia="es-ES"/>
        </w:rPr>
      </w:pPr>
    </w:p>
    <w:p w14:paraId="4CC7E1E9" w14:textId="77777777" w:rsidR="00F91E02" w:rsidRPr="00CA34F5" w:rsidRDefault="00180F14" w:rsidP="000A4C31">
      <w:pPr>
        <w:spacing w:line="240" w:lineRule="auto"/>
        <w:jc w:val="both"/>
        <w:rPr>
          <w:rFonts w:ascii="Arial" w:eastAsia="Times New Roman" w:hAnsi="Arial" w:cs="Arial"/>
          <w:b/>
          <w:lang w:eastAsia="es-ES"/>
        </w:rPr>
      </w:pPr>
      <w:r w:rsidRPr="00CA34F5">
        <w:rPr>
          <w:rFonts w:ascii="Arial" w:eastAsia="Times New Roman" w:hAnsi="Arial" w:cs="Arial"/>
          <w:b/>
          <w:lang w:eastAsia="es-ES"/>
        </w:rPr>
        <w:t>Cuentas de Orden Contables y Presupuestarias</w:t>
      </w:r>
    </w:p>
    <w:p w14:paraId="6D8AA22E" w14:textId="458D0093" w:rsidR="00AE1B05" w:rsidRDefault="00F91E02" w:rsidP="000A4C31">
      <w:pPr>
        <w:spacing w:line="240" w:lineRule="auto"/>
        <w:ind w:left="114"/>
        <w:jc w:val="both"/>
        <w:rPr>
          <w:rFonts w:ascii="Arial" w:eastAsia="DIN Next LT Pro Condensed" w:hAnsi="Arial" w:cs="Arial"/>
          <w:w w:val="102"/>
          <w:position w:val="1"/>
        </w:rPr>
      </w:pPr>
      <w:r w:rsidRPr="00CA34F5">
        <w:rPr>
          <w:rFonts w:ascii="Arial" w:eastAsia="Times New Roman" w:hAnsi="Arial" w:cs="Arial"/>
          <w:lang w:eastAsia="es-ES"/>
        </w:rPr>
        <w:t xml:space="preserve">           </w:t>
      </w:r>
      <w:r w:rsidR="00180F14" w:rsidRPr="00CA34F5">
        <w:rPr>
          <w:rFonts w:ascii="Arial" w:eastAsia="DIN Next LT Pro Condensed" w:hAnsi="Arial" w:cs="Arial"/>
          <w:position w:val="1"/>
        </w:rPr>
        <w:t>Las</w:t>
      </w:r>
      <w:r w:rsidR="00180F14" w:rsidRPr="00CA34F5">
        <w:rPr>
          <w:rFonts w:ascii="Arial" w:eastAsia="DIN Next LT Pro Condensed" w:hAnsi="Arial" w:cs="Arial"/>
          <w:spacing w:val="5"/>
          <w:position w:val="1"/>
        </w:rPr>
        <w:t xml:space="preserve"> </w:t>
      </w:r>
      <w:r w:rsidR="00180F14" w:rsidRPr="00CA34F5">
        <w:rPr>
          <w:rFonts w:ascii="Arial" w:eastAsia="DIN Next LT Pro Condensed" w:hAnsi="Arial" w:cs="Arial"/>
          <w:position w:val="1"/>
        </w:rPr>
        <w:t>Cuentas</w:t>
      </w:r>
      <w:r w:rsidR="00180F14" w:rsidRPr="00CA34F5">
        <w:rPr>
          <w:rFonts w:ascii="Arial" w:eastAsia="DIN Next LT Pro Condensed" w:hAnsi="Arial" w:cs="Arial"/>
          <w:spacing w:val="11"/>
          <w:position w:val="1"/>
        </w:rPr>
        <w:t xml:space="preserve"> </w:t>
      </w:r>
      <w:r w:rsidR="00180F14" w:rsidRPr="00CA34F5">
        <w:rPr>
          <w:rFonts w:ascii="Arial" w:eastAsia="DIN Next LT Pro Condensed" w:hAnsi="Arial" w:cs="Arial"/>
          <w:position w:val="1"/>
        </w:rPr>
        <w:t>de</w:t>
      </w:r>
      <w:r w:rsidR="00180F14" w:rsidRPr="00CA34F5">
        <w:rPr>
          <w:rFonts w:ascii="Arial" w:eastAsia="DIN Next LT Pro Condensed" w:hAnsi="Arial" w:cs="Arial"/>
          <w:spacing w:val="4"/>
          <w:position w:val="1"/>
        </w:rPr>
        <w:t xml:space="preserve"> </w:t>
      </w:r>
      <w:r w:rsidR="00180F14" w:rsidRPr="00CA34F5">
        <w:rPr>
          <w:rFonts w:ascii="Arial" w:eastAsia="DIN Next LT Pro Condensed" w:hAnsi="Arial" w:cs="Arial"/>
          <w:position w:val="1"/>
        </w:rPr>
        <w:t>Orden</w:t>
      </w:r>
      <w:r w:rsidR="00180F14" w:rsidRPr="00CA34F5">
        <w:rPr>
          <w:rFonts w:ascii="Arial" w:eastAsia="DIN Next LT Pro Condensed" w:hAnsi="Arial" w:cs="Arial"/>
          <w:spacing w:val="9"/>
          <w:position w:val="1"/>
        </w:rPr>
        <w:t xml:space="preserve"> </w:t>
      </w:r>
      <w:r w:rsidR="005A0299">
        <w:rPr>
          <w:rFonts w:ascii="Arial" w:eastAsia="DIN Next LT Pro Condensed" w:hAnsi="Arial" w:cs="Arial"/>
          <w:spacing w:val="9"/>
          <w:position w:val="1"/>
        </w:rPr>
        <w:t>Contable</w:t>
      </w:r>
      <w:r w:rsidR="00180F14" w:rsidRPr="00CA34F5">
        <w:rPr>
          <w:rFonts w:ascii="Arial" w:eastAsia="DIN Next LT Pro Condensed" w:hAnsi="Arial" w:cs="Arial"/>
          <w:spacing w:val="22"/>
          <w:position w:val="1"/>
        </w:rPr>
        <w:t xml:space="preserve"> </w:t>
      </w:r>
      <w:r w:rsidR="00180F14" w:rsidRPr="00CA34F5">
        <w:rPr>
          <w:rFonts w:ascii="Arial" w:eastAsia="DIN Next LT Pro Condensed" w:hAnsi="Arial" w:cs="Arial"/>
          <w:position w:val="1"/>
        </w:rPr>
        <w:t>presentan</w:t>
      </w:r>
      <w:r w:rsidR="00180F14" w:rsidRPr="00CA34F5">
        <w:rPr>
          <w:rFonts w:ascii="Arial" w:eastAsia="DIN Next LT Pro Condensed" w:hAnsi="Arial" w:cs="Arial"/>
          <w:spacing w:val="14"/>
          <w:position w:val="1"/>
        </w:rPr>
        <w:t xml:space="preserve"> </w:t>
      </w:r>
      <w:r w:rsidR="00180F14" w:rsidRPr="00CA34F5">
        <w:rPr>
          <w:rFonts w:ascii="Arial" w:eastAsia="DIN Next LT Pro Condensed" w:hAnsi="Arial" w:cs="Arial"/>
          <w:position w:val="1"/>
        </w:rPr>
        <w:t>al</w:t>
      </w:r>
      <w:r w:rsidR="00180F14" w:rsidRPr="00CA34F5">
        <w:rPr>
          <w:rFonts w:ascii="Arial" w:eastAsia="DIN Next LT Pro Condensed" w:hAnsi="Arial" w:cs="Arial"/>
          <w:spacing w:val="3"/>
          <w:position w:val="1"/>
        </w:rPr>
        <w:t xml:space="preserve"> </w:t>
      </w:r>
      <w:r w:rsidR="0030248F" w:rsidRPr="00CA34F5">
        <w:rPr>
          <w:rFonts w:ascii="Arial" w:eastAsia="DIN Next LT Pro Condensed" w:hAnsi="Arial" w:cs="Arial"/>
          <w:position w:val="1"/>
        </w:rPr>
        <w:t>31 de diciembre</w:t>
      </w:r>
      <w:r w:rsidRPr="00CA34F5">
        <w:rPr>
          <w:rFonts w:ascii="Arial" w:eastAsia="DIN Next LT Pro Condensed" w:hAnsi="Arial" w:cs="Arial"/>
          <w:position w:val="1"/>
        </w:rPr>
        <w:t xml:space="preserve"> de 2021 </w:t>
      </w:r>
      <w:r w:rsidR="00180F14" w:rsidRPr="00CA34F5">
        <w:rPr>
          <w:rFonts w:ascii="Arial" w:eastAsia="DIN Next LT Pro Condensed" w:hAnsi="Arial" w:cs="Arial"/>
          <w:position w:val="1"/>
        </w:rPr>
        <w:t>los</w:t>
      </w:r>
      <w:r w:rsidR="00180F14" w:rsidRPr="00CA34F5">
        <w:rPr>
          <w:rFonts w:ascii="Arial" w:eastAsia="DIN Next LT Pro Condensed" w:hAnsi="Arial" w:cs="Arial"/>
          <w:spacing w:val="5"/>
          <w:position w:val="1"/>
        </w:rPr>
        <w:t xml:space="preserve"> </w:t>
      </w:r>
      <w:r w:rsidR="00180F14" w:rsidRPr="00CA34F5">
        <w:rPr>
          <w:rFonts w:ascii="Arial" w:eastAsia="DIN Next LT Pro Condensed" w:hAnsi="Arial" w:cs="Arial"/>
          <w:position w:val="1"/>
        </w:rPr>
        <w:t>siguientes</w:t>
      </w:r>
      <w:r w:rsidR="00180F14" w:rsidRPr="00CA34F5">
        <w:rPr>
          <w:rFonts w:ascii="Arial" w:eastAsia="DIN Next LT Pro Condensed" w:hAnsi="Arial" w:cs="Arial"/>
          <w:spacing w:val="15"/>
          <w:position w:val="1"/>
        </w:rPr>
        <w:t xml:space="preserve"> </w:t>
      </w:r>
      <w:r w:rsidR="00180F14" w:rsidRPr="00CA34F5">
        <w:rPr>
          <w:rFonts w:ascii="Arial" w:eastAsia="DIN Next LT Pro Condensed" w:hAnsi="Arial" w:cs="Arial"/>
          <w:w w:val="102"/>
          <w:position w:val="1"/>
        </w:rPr>
        <w:t>importes:</w:t>
      </w:r>
    </w:p>
    <w:tbl>
      <w:tblPr>
        <w:tblW w:w="8859" w:type="dxa"/>
        <w:jc w:val="center"/>
        <w:tblCellMar>
          <w:left w:w="70" w:type="dxa"/>
          <w:right w:w="70" w:type="dxa"/>
        </w:tblCellMar>
        <w:tblLook w:val="04A0" w:firstRow="1" w:lastRow="0" w:firstColumn="1" w:lastColumn="0" w:noHBand="0" w:noVBand="1"/>
      </w:tblPr>
      <w:tblGrid>
        <w:gridCol w:w="1280"/>
        <w:gridCol w:w="3820"/>
        <w:gridCol w:w="1253"/>
        <w:gridCol w:w="1253"/>
        <w:gridCol w:w="1253"/>
      </w:tblGrid>
      <w:tr w:rsidR="00436DC2" w:rsidRPr="00436DC2" w14:paraId="70BC8C08" w14:textId="77777777" w:rsidTr="00436DC2">
        <w:trPr>
          <w:trHeight w:val="582"/>
          <w:jc w:val="center"/>
        </w:trPr>
        <w:tc>
          <w:tcPr>
            <w:tcW w:w="1280" w:type="dxa"/>
            <w:tcBorders>
              <w:top w:val="single" w:sz="8" w:space="0" w:color="auto"/>
              <w:left w:val="single" w:sz="8" w:space="0" w:color="auto"/>
              <w:bottom w:val="nil"/>
              <w:right w:val="single" w:sz="8" w:space="0" w:color="auto"/>
            </w:tcBorders>
            <w:shd w:val="clear" w:color="000000" w:fill="E7E6E6"/>
            <w:vAlign w:val="center"/>
            <w:hideMark/>
          </w:tcPr>
          <w:p w14:paraId="672A4746" w14:textId="77777777" w:rsidR="00436DC2" w:rsidRPr="00436DC2" w:rsidRDefault="00436DC2" w:rsidP="00436DC2">
            <w:pPr>
              <w:spacing w:after="0" w:line="240" w:lineRule="auto"/>
              <w:rPr>
                <w:rFonts w:ascii="Arial" w:eastAsia="Times New Roman" w:hAnsi="Arial" w:cs="Arial"/>
                <w:b/>
                <w:bCs/>
                <w:color w:val="000000"/>
                <w:sz w:val="20"/>
                <w:szCs w:val="20"/>
                <w:lang w:eastAsia="es-MX"/>
              </w:rPr>
            </w:pPr>
            <w:r w:rsidRPr="00436DC2">
              <w:rPr>
                <w:rFonts w:ascii="Arial" w:eastAsia="Times New Roman" w:hAnsi="Arial" w:cs="Arial"/>
                <w:b/>
                <w:bCs/>
                <w:color w:val="000000"/>
                <w:sz w:val="20"/>
                <w:szCs w:val="20"/>
                <w:lang w:eastAsia="es-MX"/>
              </w:rPr>
              <w:t>No de Cuenta</w:t>
            </w:r>
          </w:p>
        </w:tc>
        <w:tc>
          <w:tcPr>
            <w:tcW w:w="3820" w:type="dxa"/>
            <w:tcBorders>
              <w:top w:val="single" w:sz="8" w:space="0" w:color="auto"/>
              <w:left w:val="nil"/>
              <w:bottom w:val="nil"/>
              <w:right w:val="single" w:sz="8" w:space="0" w:color="auto"/>
            </w:tcBorders>
            <w:shd w:val="clear" w:color="000000" w:fill="E7E6E6"/>
            <w:noWrap/>
            <w:vAlign w:val="center"/>
            <w:hideMark/>
          </w:tcPr>
          <w:p w14:paraId="5BFD4662" w14:textId="77777777" w:rsidR="00436DC2" w:rsidRPr="00436DC2" w:rsidRDefault="00436DC2" w:rsidP="00436DC2">
            <w:pPr>
              <w:spacing w:after="0" w:line="240" w:lineRule="auto"/>
              <w:rPr>
                <w:rFonts w:ascii="Arial" w:eastAsia="Times New Roman" w:hAnsi="Arial" w:cs="Arial"/>
                <w:b/>
                <w:bCs/>
                <w:color w:val="000000"/>
                <w:sz w:val="20"/>
                <w:szCs w:val="20"/>
                <w:lang w:eastAsia="es-MX"/>
              </w:rPr>
            </w:pPr>
            <w:r w:rsidRPr="00436DC2">
              <w:rPr>
                <w:rFonts w:ascii="Arial" w:eastAsia="Times New Roman" w:hAnsi="Arial" w:cs="Arial"/>
                <w:b/>
                <w:bCs/>
                <w:color w:val="000000"/>
                <w:sz w:val="20"/>
                <w:szCs w:val="20"/>
                <w:lang w:eastAsia="es-MX"/>
              </w:rPr>
              <w:t>Nombre de la Cuenta</w:t>
            </w:r>
          </w:p>
        </w:tc>
        <w:tc>
          <w:tcPr>
            <w:tcW w:w="1253" w:type="dxa"/>
            <w:tcBorders>
              <w:top w:val="single" w:sz="8" w:space="0" w:color="auto"/>
              <w:left w:val="nil"/>
              <w:bottom w:val="nil"/>
              <w:right w:val="single" w:sz="8" w:space="0" w:color="auto"/>
            </w:tcBorders>
            <w:shd w:val="clear" w:color="000000" w:fill="E7E6E6"/>
            <w:vAlign w:val="center"/>
            <w:hideMark/>
          </w:tcPr>
          <w:p w14:paraId="1E820468" w14:textId="77777777" w:rsidR="00436DC2" w:rsidRPr="00436DC2" w:rsidRDefault="00436DC2" w:rsidP="00436DC2">
            <w:pPr>
              <w:spacing w:after="0" w:line="240" w:lineRule="auto"/>
              <w:rPr>
                <w:rFonts w:ascii="Arial" w:eastAsia="Times New Roman" w:hAnsi="Arial" w:cs="Arial"/>
                <w:b/>
                <w:bCs/>
                <w:color w:val="000000"/>
                <w:sz w:val="20"/>
                <w:szCs w:val="20"/>
                <w:lang w:eastAsia="es-MX"/>
              </w:rPr>
            </w:pPr>
            <w:r w:rsidRPr="00436DC2">
              <w:rPr>
                <w:rFonts w:ascii="Arial" w:eastAsia="Times New Roman" w:hAnsi="Arial" w:cs="Arial"/>
                <w:b/>
                <w:bCs/>
                <w:color w:val="000000"/>
                <w:sz w:val="20"/>
                <w:szCs w:val="20"/>
                <w:lang w:eastAsia="es-MX"/>
              </w:rPr>
              <w:t>Débito</w:t>
            </w:r>
          </w:p>
        </w:tc>
        <w:tc>
          <w:tcPr>
            <w:tcW w:w="1253" w:type="dxa"/>
            <w:tcBorders>
              <w:top w:val="single" w:sz="8" w:space="0" w:color="auto"/>
              <w:left w:val="nil"/>
              <w:bottom w:val="nil"/>
              <w:right w:val="single" w:sz="8" w:space="0" w:color="auto"/>
            </w:tcBorders>
            <w:shd w:val="clear" w:color="000000" w:fill="E7E6E6"/>
            <w:vAlign w:val="center"/>
            <w:hideMark/>
          </w:tcPr>
          <w:p w14:paraId="7CEFC559" w14:textId="77777777" w:rsidR="00436DC2" w:rsidRPr="00436DC2" w:rsidRDefault="00436DC2" w:rsidP="00436DC2">
            <w:pPr>
              <w:spacing w:after="0" w:line="240" w:lineRule="auto"/>
              <w:rPr>
                <w:rFonts w:ascii="Arial" w:eastAsia="Times New Roman" w:hAnsi="Arial" w:cs="Arial"/>
                <w:b/>
                <w:bCs/>
                <w:color w:val="000000"/>
                <w:sz w:val="20"/>
                <w:szCs w:val="20"/>
                <w:lang w:eastAsia="es-MX"/>
              </w:rPr>
            </w:pPr>
            <w:r w:rsidRPr="00436DC2">
              <w:rPr>
                <w:rFonts w:ascii="Arial" w:eastAsia="Times New Roman" w:hAnsi="Arial" w:cs="Arial"/>
                <w:b/>
                <w:bCs/>
                <w:color w:val="000000"/>
                <w:sz w:val="20"/>
                <w:szCs w:val="20"/>
                <w:lang w:eastAsia="es-MX"/>
              </w:rPr>
              <w:t>Crédito</w:t>
            </w:r>
          </w:p>
        </w:tc>
        <w:tc>
          <w:tcPr>
            <w:tcW w:w="1253" w:type="dxa"/>
            <w:tcBorders>
              <w:top w:val="single" w:sz="8" w:space="0" w:color="auto"/>
              <w:left w:val="nil"/>
              <w:bottom w:val="nil"/>
              <w:right w:val="single" w:sz="8" w:space="0" w:color="auto"/>
            </w:tcBorders>
            <w:shd w:val="clear" w:color="000000" w:fill="E7E6E6"/>
            <w:vAlign w:val="center"/>
            <w:hideMark/>
          </w:tcPr>
          <w:p w14:paraId="1572D0AF" w14:textId="77777777" w:rsidR="00436DC2" w:rsidRPr="00436DC2" w:rsidRDefault="00436DC2" w:rsidP="00436DC2">
            <w:pPr>
              <w:spacing w:after="0" w:line="240" w:lineRule="auto"/>
              <w:rPr>
                <w:rFonts w:ascii="Arial" w:eastAsia="Times New Roman" w:hAnsi="Arial" w:cs="Arial"/>
                <w:b/>
                <w:bCs/>
                <w:color w:val="000000"/>
                <w:sz w:val="20"/>
                <w:szCs w:val="20"/>
                <w:lang w:eastAsia="es-MX"/>
              </w:rPr>
            </w:pPr>
            <w:r w:rsidRPr="00436DC2">
              <w:rPr>
                <w:rFonts w:ascii="Arial" w:eastAsia="Times New Roman" w:hAnsi="Arial" w:cs="Arial"/>
                <w:b/>
                <w:bCs/>
                <w:color w:val="000000"/>
                <w:sz w:val="20"/>
                <w:szCs w:val="20"/>
                <w:lang w:eastAsia="es-MX"/>
              </w:rPr>
              <w:t>Saldo Final</w:t>
            </w:r>
          </w:p>
        </w:tc>
      </w:tr>
      <w:tr w:rsidR="00436DC2" w:rsidRPr="00436DC2" w14:paraId="5D0E9C25" w14:textId="77777777" w:rsidTr="00436DC2">
        <w:trPr>
          <w:trHeight w:val="582"/>
          <w:jc w:val="center"/>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51388" w14:textId="77777777" w:rsidR="00436DC2" w:rsidRPr="00436DC2" w:rsidRDefault="00436DC2" w:rsidP="00436DC2">
            <w:pPr>
              <w:spacing w:after="0" w:line="240" w:lineRule="auto"/>
              <w:rPr>
                <w:rFonts w:ascii="Arial" w:eastAsia="Times New Roman" w:hAnsi="Arial" w:cs="Arial"/>
                <w:color w:val="000000"/>
                <w:sz w:val="20"/>
                <w:szCs w:val="20"/>
                <w:lang w:eastAsia="es-MX"/>
              </w:rPr>
            </w:pPr>
            <w:r w:rsidRPr="00436DC2">
              <w:rPr>
                <w:rFonts w:ascii="Arial" w:eastAsia="Times New Roman" w:hAnsi="Arial" w:cs="Arial"/>
                <w:color w:val="000000"/>
                <w:sz w:val="20"/>
                <w:szCs w:val="20"/>
                <w:lang w:eastAsia="es-MX"/>
              </w:rPr>
              <w:t>7.1.7.1</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14:paraId="36DB0F5D" w14:textId="77777777" w:rsidR="00436DC2" w:rsidRPr="00436DC2" w:rsidRDefault="00436DC2" w:rsidP="00436DC2">
            <w:pPr>
              <w:spacing w:after="0" w:line="240" w:lineRule="auto"/>
              <w:jc w:val="left"/>
              <w:rPr>
                <w:rFonts w:ascii="Arial" w:eastAsia="Times New Roman" w:hAnsi="Arial" w:cs="Arial"/>
                <w:color w:val="000000"/>
                <w:sz w:val="20"/>
                <w:szCs w:val="20"/>
                <w:lang w:eastAsia="es-MX"/>
              </w:rPr>
            </w:pPr>
            <w:r w:rsidRPr="00436DC2">
              <w:rPr>
                <w:rFonts w:ascii="Arial" w:eastAsia="Times New Roman" w:hAnsi="Arial" w:cs="Arial"/>
                <w:color w:val="000000"/>
                <w:sz w:val="20"/>
                <w:szCs w:val="20"/>
                <w:lang w:eastAsia="es-MX"/>
              </w:rPr>
              <w:t>Bono Cupón Cero en fideicomiso 2186 FONREC, BANOBRAS</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0CE93D27" w14:textId="77777777" w:rsidR="00436DC2" w:rsidRPr="00436DC2" w:rsidRDefault="00436DC2" w:rsidP="00436DC2">
            <w:pPr>
              <w:spacing w:after="0" w:line="240" w:lineRule="auto"/>
              <w:jc w:val="right"/>
              <w:rPr>
                <w:rFonts w:ascii="Arial" w:eastAsia="Times New Roman" w:hAnsi="Arial" w:cs="Arial"/>
                <w:color w:val="000000"/>
                <w:sz w:val="20"/>
                <w:szCs w:val="20"/>
                <w:lang w:eastAsia="es-MX"/>
              </w:rPr>
            </w:pPr>
            <w:r w:rsidRPr="00436DC2">
              <w:rPr>
                <w:rFonts w:ascii="Arial" w:eastAsia="Times New Roman" w:hAnsi="Arial" w:cs="Arial"/>
                <w:color w:val="000000"/>
                <w:sz w:val="20"/>
                <w:szCs w:val="20"/>
                <w:lang w:eastAsia="es-MX"/>
              </w:rPr>
              <w:t>615,246,061</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6ADBB6E4" w14:textId="77777777" w:rsidR="00436DC2" w:rsidRPr="00436DC2" w:rsidRDefault="00436DC2" w:rsidP="00436DC2">
            <w:pPr>
              <w:spacing w:after="0" w:line="240" w:lineRule="auto"/>
              <w:jc w:val="right"/>
              <w:rPr>
                <w:rFonts w:ascii="Arial" w:eastAsia="Times New Roman" w:hAnsi="Arial" w:cs="Arial"/>
                <w:color w:val="000000"/>
                <w:sz w:val="20"/>
                <w:szCs w:val="20"/>
                <w:lang w:eastAsia="es-MX"/>
              </w:rPr>
            </w:pPr>
            <w:r w:rsidRPr="00436DC2">
              <w:rPr>
                <w:rFonts w:ascii="Arial" w:eastAsia="Times New Roman" w:hAnsi="Arial" w:cs="Arial"/>
                <w:color w:val="000000"/>
                <w:sz w:val="20"/>
                <w:szCs w:val="20"/>
                <w:lang w:eastAsia="es-MX"/>
              </w:rPr>
              <w:t>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0A042BBD" w14:textId="77777777" w:rsidR="00436DC2" w:rsidRPr="00436DC2" w:rsidRDefault="00436DC2" w:rsidP="00436DC2">
            <w:pPr>
              <w:spacing w:after="0" w:line="240" w:lineRule="auto"/>
              <w:jc w:val="right"/>
              <w:rPr>
                <w:rFonts w:ascii="Arial" w:eastAsia="Times New Roman" w:hAnsi="Arial" w:cs="Arial"/>
                <w:color w:val="000000"/>
                <w:sz w:val="20"/>
                <w:szCs w:val="20"/>
                <w:lang w:eastAsia="es-MX"/>
              </w:rPr>
            </w:pPr>
            <w:r w:rsidRPr="00436DC2">
              <w:rPr>
                <w:rFonts w:ascii="Arial" w:eastAsia="Times New Roman" w:hAnsi="Arial" w:cs="Arial"/>
                <w:color w:val="000000"/>
                <w:sz w:val="20"/>
                <w:szCs w:val="20"/>
                <w:lang w:eastAsia="es-MX"/>
              </w:rPr>
              <w:t>615,246,061</w:t>
            </w:r>
          </w:p>
        </w:tc>
      </w:tr>
      <w:tr w:rsidR="00436DC2" w:rsidRPr="00436DC2" w14:paraId="25E28621" w14:textId="77777777" w:rsidTr="00436DC2">
        <w:trPr>
          <w:trHeight w:val="582"/>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48910E9" w14:textId="77777777" w:rsidR="00436DC2" w:rsidRPr="00436DC2" w:rsidRDefault="00436DC2" w:rsidP="00436DC2">
            <w:pPr>
              <w:spacing w:after="0" w:line="240" w:lineRule="auto"/>
              <w:rPr>
                <w:rFonts w:ascii="Arial" w:eastAsia="Times New Roman" w:hAnsi="Arial" w:cs="Arial"/>
                <w:color w:val="000000"/>
                <w:sz w:val="20"/>
                <w:szCs w:val="20"/>
                <w:lang w:eastAsia="es-MX"/>
              </w:rPr>
            </w:pPr>
            <w:r w:rsidRPr="00436DC2">
              <w:rPr>
                <w:rFonts w:ascii="Arial" w:eastAsia="Times New Roman" w:hAnsi="Arial" w:cs="Arial"/>
                <w:color w:val="000000"/>
                <w:sz w:val="20"/>
                <w:szCs w:val="20"/>
                <w:lang w:eastAsia="es-MX"/>
              </w:rPr>
              <w:t>7.1.7.2</w:t>
            </w:r>
          </w:p>
        </w:tc>
        <w:tc>
          <w:tcPr>
            <w:tcW w:w="3820" w:type="dxa"/>
            <w:tcBorders>
              <w:top w:val="nil"/>
              <w:left w:val="nil"/>
              <w:bottom w:val="single" w:sz="4" w:space="0" w:color="auto"/>
              <w:right w:val="single" w:sz="4" w:space="0" w:color="auto"/>
            </w:tcBorders>
            <w:shd w:val="clear" w:color="auto" w:fill="auto"/>
            <w:vAlign w:val="center"/>
            <w:hideMark/>
          </w:tcPr>
          <w:p w14:paraId="695A6979" w14:textId="77777777" w:rsidR="00436DC2" w:rsidRPr="00436DC2" w:rsidRDefault="00436DC2" w:rsidP="00436DC2">
            <w:pPr>
              <w:spacing w:after="0" w:line="240" w:lineRule="auto"/>
              <w:jc w:val="left"/>
              <w:rPr>
                <w:rFonts w:ascii="Arial" w:eastAsia="Times New Roman" w:hAnsi="Arial" w:cs="Arial"/>
                <w:color w:val="000000"/>
                <w:sz w:val="20"/>
                <w:szCs w:val="20"/>
                <w:lang w:eastAsia="es-MX"/>
              </w:rPr>
            </w:pPr>
            <w:r w:rsidRPr="00436DC2">
              <w:rPr>
                <w:rFonts w:ascii="Arial" w:eastAsia="Times New Roman" w:hAnsi="Arial" w:cs="Arial"/>
                <w:color w:val="000000"/>
                <w:sz w:val="20"/>
                <w:szCs w:val="20"/>
                <w:lang w:eastAsia="es-MX"/>
              </w:rPr>
              <w:t>Bono Cupón Cero en fideicomiso 2198 PROFISE, BANOBRAS</w:t>
            </w:r>
          </w:p>
        </w:tc>
        <w:tc>
          <w:tcPr>
            <w:tcW w:w="1253" w:type="dxa"/>
            <w:tcBorders>
              <w:top w:val="nil"/>
              <w:left w:val="nil"/>
              <w:bottom w:val="single" w:sz="4" w:space="0" w:color="auto"/>
              <w:right w:val="single" w:sz="4" w:space="0" w:color="auto"/>
            </w:tcBorders>
            <w:shd w:val="clear" w:color="auto" w:fill="auto"/>
            <w:noWrap/>
            <w:vAlign w:val="center"/>
            <w:hideMark/>
          </w:tcPr>
          <w:p w14:paraId="4C8D34F4" w14:textId="77777777" w:rsidR="00436DC2" w:rsidRPr="00436DC2" w:rsidRDefault="00436DC2" w:rsidP="00436DC2">
            <w:pPr>
              <w:spacing w:after="0" w:line="240" w:lineRule="auto"/>
              <w:jc w:val="right"/>
              <w:rPr>
                <w:rFonts w:ascii="Arial" w:eastAsia="Times New Roman" w:hAnsi="Arial" w:cs="Arial"/>
                <w:color w:val="000000"/>
                <w:sz w:val="20"/>
                <w:szCs w:val="20"/>
                <w:lang w:eastAsia="es-MX"/>
              </w:rPr>
            </w:pPr>
            <w:r w:rsidRPr="00436DC2">
              <w:rPr>
                <w:rFonts w:ascii="Arial" w:eastAsia="Times New Roman" w:hAnsi="Arial" w:cs="Arial"/>
                <w:color w:val="000000"/>
                <w:sz w:val="20"/>
                <w:szCs w:val="20"/>
                <w:lang w:eastAsia="es-MX"/>
              </w:rPr>
              <w:t>291,741,253</w:t>
            </w:r>
          </w:p>
        </w:tc>
        <w:tc>
          <w:tcPr>
            <w:tcW w:w="1253" w:type="dxa"/>
            <w:tcBorders>
              <w:top w:val="nil"/>
              <w:left w:val="nil"/>
              <w:bottom w:val="single" w:sz="4" w:space="0" w:color="auto"/>
              <w:right w:val="single" w:sz="4" w:space="0" w:color="auto"/>
            </w:tcBorders>
            <w:shd w:val="clear" w:color="auto" w:fill="auto"/>
            <w:noWrap/>
            <w:vAlign w:val="center"/>
            <w:hideMark/>
          </w:tcPr>
          <w:p w14:paraId="603540FE" w14:textId="77777777" w:rsidR="00436DC2" w:rsidRPr="00436DC2" w:rsidRDefault="00436DC2" w:rsidP="00436DC2">
            <w:pPr>
              <w:spacing w:after="0" w:line="240" w:lineRule="auto"/>
              <w:jc w:val="right"/>
              <w:rPr>
                <w:rFonts w:ascii="Arial" w:eastAsia="Times New Roman" w:hAnsi="Arial" w:cs="Arial"/>
                <w:color w:val="000000"/>
                <w:sz w:val="20"/>
                <w:szCs w:val="20"/>
                <w:lang w:eastAsia="es-MX"/>
              </w:rPr>
            </w:pPr>
            <w:r w:rsidRPr="00436DC2">
              <w:rPr>
                <w:rFonts w:ascii="Arial" w:eastAsia="Times New Roman" w:hAnsi="Arial" w:cs="Arial"/>
                <w:color w:val="000000"/>
                <w:sz w:val="20"/>
                <w:szCs w:val="20"/>
                <w:lang w:eastAsia="es-MX"/>
              </w:rPr>
              <w:t>0</w:t>
            </w:r>
          </w:p>
        </w:tc>
        <w:tc>
          <w:tcPr>
            <w:tcW w:w="1253" w:type="dxa"/>
            <w:tcBorders>
              <w:top w:val="nil"/>
              <w:left w:val="nil"/>
              <w:bottom w:val="single" w:sz="4" w:space="0" w:color="auto"/>
              <w:right w:val="single" w:sz="4" w:space="0" w:color="auto"/>
            </w:tcBorders>
            <w:shd w:val="clear" w:color="auto" w:fill="auto"/>
            <w:noWrap/>
            <w:vAlign w:val="center"/>
            <w:hideMark/>
          </w:tcPr>
          <w:p w14:paraId="760B2DA2" w14:textId="77777777" w:rsidR="00436DC2" w:rsidRPr="00436DC2" w:rsidRDefault="00436DC2" w:rsidP="00436DC2">
            <w:pPr>
              <w:spacing w:after="0" w:line="240" w:lineRule="auto"/>
              <w:jc w:val="right"/>
              <w:rPr>
                <w:rFonts w:ascii="Arial" w:eastAsia="Times New Roman" w:hAnsi="Arial" w:cs="Arial"/>
                <w:color w:val="000000"/>
                <w:sz w:val="20"/>
                <w:szCs w:val="20"/>
                <w:lang w:eastAsia="es-MX"/>
              </w:rPr>
            </w:pPr>
            <w:r w:rsidRPr="00436DC2">
              <w:rPr>
                <w:rFonts w:ascii="Arial" w:eastAsia="Times New Roman" w:hAnsi="Arial" w:cs="Arial"/>
                <w:color w:val="000000"/>
                <w:sz w:val="20"/>
                <w:szCs w:val="20"/>
                <w:lang w:eastAsia="es-MX"/>
              </w:rPr>
              <w:t>291,741,253</w:t>
            </w:r>
          </w:p>
        </w:tc>
      </w:tr>
      <w:tr w:rsidR="00436DC2" w:rsidRPr="00436DC2" w14:paraId="3EA09714" w14:textId="77777777" w:rsidTr="00436DC2">
        <w:trPr>
          <w:trHeight w:val="582"/>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E407793" w14:textId="77777777" w:rsidR="00436DC2" w:rsidRPr="00436DC2" w:rsidRDefault="00436DC2" w:rsidP="00436DC2">
            <w:pPr>
              <w:spacing w:after="0" w:line="240" w:lineRule="auto"/>
              <w:rPr>
                <w:rFonts w:ascii="Arial" w:eastAsia="Times New Roman" w:hAnsi="Arial" w:cs="Arial"/>
                <w:color w:val="000000"/>
                <w:sz w:val="20"/>
                <w:szCs w:val="20"/>
                <w:lang w:eastAsia="es-MX"/>
              </w:rPr>
            </w:pPr>
            <w:r w:rsidRPr="00436DC2">
              <w:rPr>
                <w:rFonts w:ascii="Arial" w:eastAsia="Times New Roman" w:hAnsi="Arial" w:cs="Arial"/>
                <w:color w:val="000000"/>
                <w:sz w:val="20"/>
                <w:szCs w:val="20"/>
                <w:lang w:eastAsia="es-MX"/>
              </w:rPr>
              <w:t>7.1.8.1</w:t>
            </w:r>
          </w:p>
        </w:tc>
        <w:tc>
          <w:tcPr>
            <w:tcW w:w="3820" w:type="dxa"/>
            <w:tcBorders>
              <w:top w:val="nil"/>
              <w:left w:val="nil"/>
              <w:bottom w:val="single" w:sz="4" w:space="0" w:color="auto"/>
              <w:right w:val="single" w:sz="4" w:space="0" w:color="auto"/>
            </w:tcBorders>
            <w:shd w:val="clear" w:color="auto" w:fill="auto"/>
            <w:vAlign w:val="center"/>
            <w:hideMark/>
          </w:tcPr>
          <w:p w14:paraId="0A384F92" w14:textId="77777777" w:rsidR="00436DC2" w:rsidRPr="00436DC2" w:rsidRDefault="00436DC2" w:rsidP="00436DC2">
            <w:pPr>
              <w:spacing w:after="0" w:line="240" w:lineRule="auto"/>
              <w:jc w:val="left"/>
              <w:rPr>
                <w:rFonts w:ascii="Arial" w:eastAsia="Times New Roman" w:hAnsi="Arial" w:cs="Arial"/>
                <w:color w:val="000000"/>
                <w:sz w:val="20"/>
                <w:szCs w:val="20"/>
                <w:lang w:eastAsia="es-MX"/>
              </w:rPr>
            </w:pPr>
            <w:r w:rsidRPr="00436DC2">
              <w:rPr>
                <w:rFonts w:ascii="Arial" w:eastAsia="Times New Roman" w:hAnsi="Arial" w:cs="Arial"/>
                <w:color w:val="000000"/>
                <w:sz w:val="20"/>
                <w:szCs w:val="20"/>
                <w:lang w:eastAsia="es-MX"/>
              </w:rPr>
              <w:t>Bono Cupón Cero en BANOBRAS, fideicomiso 2186 FONREC.</w:t>
            </w:r>
          </w:p>
        </w:tc>
        <w:tc>
          <w:tcPr>
            <w:tcW w:w="1253" w:type="dxa"/>
            <w:tcBorders>
              <w:top w:val="nil"/>
              <w:left w:val="nil"/>
              <w:bottom w:val="single" w:sz="4" w:space="0" w:color="auto"/>
              <w:right w:val="single" w:sz="4" w:space="0" w:color="auto"/>
            </w:tcBorders>
            <w:shd w:val="clear" w:color="auto" w:fill="auto"/>
            <w:noWrap/>
            <w:vAlign w:val="center"/>
            <w:hideMark/>
          </w:tcPr>
          <w:p w14:paraId="2D514F9C" w14:textId="77777777" w:rsidR="00436DC2" w:rsidRPr="00436DC2" w:rsidRDefault="00436DC2" w:rsidP="00436DC2">
            <w:pPr>
              <w:spacing w:after="0" w:line="240" w:lineRule="auto"/>
              <w:jc w:val="right"/>
              <w:rPr>
                <w:rFonts w:ascii="Arial" w:eastAsia="Times New Roman" w:hAnsi="Arial" w:cs="Arial"/>
                <w:color w:val="000000"/>
                <w:sz w:val="20"/>
                <w:szCs w:val="20"/>
                <w:lang w:eastAsia="es-MX"/>
              </w:rPr>
            </w:pPr>
            <w:r w:rsidRPr="00436DC2">
              <w:rPr>
                <w:rFonts w:ascii="Arial" w:eastAsia="Times New Roman" w:hAnsi="Arial" w:cs="Arial"/>
                <w:color w:val="000000"/>
                <w:sz w:val="20"/>
                <w:szCs w:val="20"/>
                <w:lang w:eastAsia="es-MX"/>
              </w:rPr>
              <w:t>0</w:t>
            </w:r>
          </w:p>
        </w:tc>
        <w:tc>
          <w:tcPr>
            <w:tcW w:w="1253" w:type="dxa"/>
            <w:tcBorders>
              <w:top w:val="nil"/>
              <w:left w:val="nil"/>
              <w:bottom w:val="single" w:sz="4" w:space="0" w:color="auto"/>
              <w:right w:val="single" w:sz="4" w:space="0" w:color="auto"/>
            </w:tcBorders>
            <w:shd w:val="clear" w:color="auto" w:fill="auto"/>
            <w:noWrap/>
            <w:vAlign w:val="center"/>
            <w:hideMark/>
          </w:tcPr>
          <w:p w14:paraId="2367D6A9" w14:textId="77777777" w:rsidR="00436DC2" w:rsidRPr="00436DC2" w:rsidRDefault="00436DC2" w:rsidP="00436DC2">
            <w:pPr>
              <w:spacing w:after="0" w:line="240" w:lineRule="auto"/>
              <w:jc w:val="right"/>
              <w:rPr>
                <w:rFonts w:ascii="Arial" w:eastAsia="Times New Roman" w:hAnsi="Arial" w:cs="Arial"/>
                <w:color w:val="000000"/>
                <w:sz w:val="20"/>
                <w:szCs w:val="20"/>
                <w:lang w:eastAsia="es-MX"/>
              </w:rPr>
            </w:pPr>
            <w:r w:rsidRPr="00436DC2">
              <w:rPr>
                <w:rFonts w:ascii="Arial" w:eastAsia="Times New Roman" w:hAnsi="Arial" w:cs="Arial"/>
                <w:color w:val="000000"/>
                <w:sz w:val="20"/>
                <w:szCs w:val="20"/>
                <w:lang w:eastAsia="es-MX"/>
              </w:rPr>
              <w:t>615,246,061</w:t>
            </w:r>
          </w:p>
        </w:tc>
        <w:tc>
          <w:tcPr>
            <w:tcW w:w="1253" w:type="dxa"/>
            <w:tcBorders>
              <w:top w:val="nil"/>
              <w:left w:val="nil"/>
              <w:bottom w:val="single" w:sz="4" w:space="0" w:color="auto"/>
              <w:right w:val="single" w:sz="4" w:space="0" w:color="auto"/>
            </w:tcBorders>
            <w:shd w:val="clear" w:color="auto" w:fill="auto"/>
            <w:noWrap/>
            <w:vAlign w:val="center"/>
            <w:hideMark/>
          </w:tcPr>
          <w:p w14:paraId="61A2D3B4" w14:textId="77777777" w:rsidR="00436DC2" w:rsidRPr="00436DC2" w:rsidRDefault="00436DC2" w:rsidP="00436DC2">
            <w:pPr>
              <w:spacing w:after="0" w:line="240" w:lineRule="auto"/>
              <w:jc w:val="right"/>
              <w:rPr>
                <w:rFonts w:ascii="Arial" w:eastAsia="Times New Roman" w:hAnsi="Arial" w:cs="Arial"/>
                <w:color w:val="000000"/>
                <w:sz w:val="20"/>
                <w:szCs w:val="20"/>
                <w:lang w:eastAsia="es-MX"/>
              </w:rPr>
            </w:pPr>
            <w:r w:rsidRPr="00436DC2">
              <w:rPr>
                <w:rFonts w:ascii="Arial" w:eastAsia="Times New Roman" w:hAnsi="Arial" w:cs="Arial"/>
                <w:color w:val="000000"/>
                <w:sz w:val="20"/>
                <w:szCs w:val="20"/>
                <w:lang w:eastAsia="es-MX"/>
              </w:rPr>
              <w:t>615,246,061</w:t>
            </w:r>
          </w:p>
        </w:tc>
      </w:tr>
      <w:tr w:rsidR="00436DC2" w:rsidRPr="00436DC2" w14:paraId="4BAAE379" w14:textId="77777777" w:rsidTr="00436DC2">
        <w:trPr>
          <w:trHeight w:val="582"/>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1D0A951" w14:textId="77777777" w:rsidR="00436DC2" w:rsidRPr="00436DC2" w:rsidRDefault="00436DC2" w:rsidP="00436DC2">
            <w:pPr>
              <w:spacing w:after="0" w:line="240" w:lineRule="auto"/>
              <w:rPr>
                <w:rFonts w:ascii="Arial" w:eastAsia="Times New Roman" w:hAnsi="Arial" w:cs="Arial"/>
                <w:color w:val="000000"/>
                <w:sz w:val="20"/>
                <w:szCs w:val="20"/>
                <w:lang w:eastAsia="es-MX"/>
              </w:rPr>
            </w:pPr>
            <w:r w:rsidRPr="00436DC2">
              <w:rPr>
                <w:rFonts w:ascii="Arial" w:eastAsia="Times New Roman" w:hAnsi="Arial" w:cs="Arial"/>
                <w:color w:val="000000"/>
                <w:sz w:val="20"/>
                <w:szCs w:val="20"/>
                <w:lang w:eastAsia="es-MX"/>
              </w:rPr>
              <w:t>7.1.8.2</w:t>
            </w:r>
          </w:p>
        </w:tc>
        <w:tc>
          <w:tcPr>
            <w:tcW w:w="3820" w:type="dxa"/>
            <w:tcBorders>
              <w:top w:val="nil"/>
              <w:left w:val="nil"/>
              <w:bottom w:val="single" w:sz="4" w:space="0" w:color="auto"/>
              <w:right w:val="single" w:sz="4" w:space="0" w:color="auto"/>
            </w:tcBorders>
            <w:shd w:val="clear" w:color="auto" w:fill="auto"/>
            <w:vAlign w:val="center"/>
            <w:hideMark/>
          </w:tcPr>
          <w:p w14:paraId="2CFC541B" w14:textId="77777777" w:rsidR="00436DC2" w:rsidRPr="00436DC2" w:rsidRDefault="00436DC2" w:rsidP="00436DC2">
            <w:pPr>
              <w:spacing w:after="0" w:line="240" w:lineRule="auto"/>
              <w:jc w:val="left"/>
              <w:rPr>
                <w:rFonts w:ascii="Arial" w:eastAsia="Times New Roman" w:hAnsi="Arial" w:cs="Arial"/>
                <w:color w:val="000000"/>
                <w:sz w:val="20"/>
                <w:szCs w:val="20"/>
                <w:lang w:eastAsia="es-MX"/>
              </w:rPr>
            </w:pPr>
            <w:r w:rsidRPr="00436DC2">
              <w:rPr>
                <w:rFonts w:ascii="Arial" w:eastAsia="Times New Roman" w:hAnsi="Arial" w:cs="Arial"/>
                <w:color w:val="000000"/>
                <w:sz w:val="20"/>
                <w:szCs w:val="20"/>
                <w:lang w:eastAsia="es-MX"/>
              </w:rPr>
              <w:t>Bono Cupón Cero en BANOBRAS, fideicomiso 2198 PROFISE</w:t>
            </w:r>
          </w:p>
        </w:tc>
        <w:tc>
          <w:tcPr>
            <w:tcW w:w="1253" w:type="dxa"/>
            <w:tcBorders>
              <w:top w:val="nil"/>
              <w:left w:val="nil"/>
              <w:bottom w:val="single" w:sz="4" w:space="0" w:color="auto"/>
              <w:right w:val="single" w:sz="4" w:space="0" w:color="auto"/>
            </w:tcBorders>
            <w:shd w:val="clear" w:color="auto" w:fill="auto"/>
            <w:noWrap/>
            <w:vAlign w:val="center"/>
            <w:hideMark/>
          </w:tcPr>
          <w:p w14:paraId="673354D1" w14:textId="77777777" w:rsidR="00436DC2" w:rsidRPr="00436DC2" w:rsidRDefault="00436DC2" w:rsidP="00436DC2">
            <w:pPr>
              <w:spacing w:after="0" w:line="240" w:lineRule="auto"/>
              <w:jc w:val="right"/>
              <w:rPr>
                <w:rFonts w:ascii="Arial" w:eastAsia="Times New Roman" w:hAnsi="Arial" w:cs="Arial"/>
                <w:color w:val="000000"/>
                <w:sz w:val="20"/>
                <w:szCs w:val="20"/>
                <w:lang w:eastAsia="es-MX"/>
              </w:rPr>
            </w:pPr>
            <w:r w:rsidRPr="00436DC2">
              <w:rPr>
                <w:rFonts w:ascii="Arial" w:eastAsia="Times New Roman" w:hAnsi="Arial" w:cs="Arial"/>
                <w:color w:val="000000"/>
                <w:sz w:val="20"/>
                <w:szCs w:val="20"/>
                <w:lang w:eastAsia="es-MX"/>
              </w:rPr>
              <w:t>0</w:t>
            </w:r>
          </w:p>
        </w:tc>
        <w:tc>
          <w:tcPr>
            <w:tcW w:w="1253" w:type="dxa"/>
            <w:tcBorders>
              <w:top w:val="nil"/>
              <w:left w:val="nil"/>
              <w:bottom w:val="single" w:sz="4" w:space="0" w:color="auto"/>
              <w:right w:val="single" w:sz="4" w:space="0" w:color="auto"/>
            </w:tcBorders>
            <w:shd w:val="clear" w:color="auto" w:fill="auto"/>
            <w:noWrap/>
            <w:vAlign w:val="center"/>
            <w:hideMark/>
          </w:tcPr>
          <w:p w14:paraId="3749BAEE" w14:textId="77777777" w:rsidR="00436DC2" w:rsidRPr="00436DC2" w:rsidRDefault="00436DC2" w:rsidP="00436DC2">
            <w:pPr>
              <w:spacing w:after="0" w:line="240" w:lineRule="auto"/>
              <w:jc w:val="right"/>
              <w:rPr>
                <w:rFonts w:ascii="Arial" w:eastAsia="Times New Roman" w:hAnsi="Arial" w:cs="Arial"/>
                <w:color w:val="000000"/>
                <w:sz w:val="20"/>
                <w:szCs w:val="20"/>
                <w:lang w:eastAsia="es-MX"/>
              </w:rPr>
            </w:pPr>
            <w:r w:rsidRPr="00436DC2">
              <w:rPr>
                <w:rFonts w:ascii="Arial" w:eastAsia="Times New Roman" w:hAnsi="Arial" w:cs="Arial"/>
                <w:color w:val="000000"/>
                <w:sz w:val="20"/>
                <w:szCs w:val="20"/>
                <w:lang w:eastAsia="es-MX"/>
              </w:rPr>
              <w:t>291,741,253</w:t>
            </w:r>
          </w:p>
        </w:tc>
        <w:tc>
          <w:tcPr>
            <w:tcW w:w="1253" w:type="dxa"/>
            <w:tcBorders>
              <w:top w:val="nil"/>
              <w:left w:val="nil"/>
              <w:bottom w:val="single" w:sz="4" w:space="0" w:color="auto"/>
              <w:right w:val="single" w:sz="4" w:space="0" w:color="auto"/>
            </w:tcBorders>
            <w:shd w:val="clear" w:color="auto" w:fill="auto"/>
            <w:noWrap/>
            <w:vAlign w:val="center"/>
            <w:hideMark/>
          </w:tcPr>
          <w:p w14:paraId="2295109C" w14:textId="77777777" w:rsidR="00436DC2" w:rsidRPr="00436DC2" w:rsidRDefault="00436DC2" w:rsidP="00436DC2">
            <w:pPr>
              <w:spacing w:after="0" w:line="240" w:lineRule="auto"/>
              <w:jc w:val="right"/>
              <w:rPr>
                <w:rFonts w:ascii="Arial" w:eastAsia="Times New Roman" w:hAnsi="Arial" w:cs="Arial"/>
                <w:color w:val="000000"/>
                <w:sz w:val="20"/>
                <w:szCs w:val="20"/>
                <w:lang w:eastAsia="es-MX"/>
              </w:rPr>
            </w:pPr>
            <w:r w:rsidRPr="00436DC2">
              <w:rPr>
                <w:rFonts w:ascii="Arial" w:eastAsia="Times New Roman" w:hAnsi="Arial" w:cs="Arial"/>
                <w:color w:val="000000"/>
                <w:sz w:val="20"/>
                <w:szCs w:val="20"/>
                <w:lang w:eastAsia="es-MX"/>
              </w:rPr>
              <w:t>291,741,253</w:t>
            </w:r>
          </w:p>
        </w:tc>
      </w:tr>
    </w:tbl>
    <w:p w14:paraId="4D52C4EC" w14:textId="77777777" w:rsidR="00436DC2" w:rsidRDefault="00436DC2" w:rsidP="000A4C31">
      <w:pPr>
        <w:spacing w:line="240" w:lineRule="auto"/>
        <w:ind w:left="114"/>
        <w:jc w:val="both"/>
        <w:rPr>
          <w:rFonts w:ascii="Arial" w:eastAsia="DIN Next LT Pro Condensed" w:hAnsi="Arial" w:cs="Arial"/>
          <w:w w:val="102"/>
          <w:position w:val="1"/>
        </w:rPr>
      </w:pPr>
    </w:p>
    <w:p w14:paraId="7F5203B1" w14:textId="165B99E6" w:rsidR="00436DC2" w:rsidRDefault="00436DC2" w:rsidP="00436DC2">
      <w:pPr>
        <w:spacing w:line="240" w:lineRule="auto"/>
        <w:ind w:left="114"/>
        <w:jc w:val="both"/>
        <w:rPr>
          <w:rFonts w:ascii="Arial" w:eastAsia="DIN Next LT Pro Condensed" w:hAnsi="Arial" w:cs="Arial"/>
          <w:w w:val="102"/>
          <w:position w:val="1"/>
        </w:rPr>
      </w:pPr>
      <w:r w:rsidRPr="00CA34F5">
        <w:rPr>
          <w:rFonts w:ascii="Arial" w:eastAsia="DIN Next LT Pro Condensed" w:hAnsi="Arial" w:cs="Arial"/>
          <w:position w:val="1"/>
        </w:rPr>
        <w:lastRenderedPageBreak/>
        <w:t>Las</w:t>
      </w:r>
      <w:r w:rsidRPr="00CA34F5">
        <w:rPr>
          <w:rFonts w:ascii="Arial" w:eastAsia="DIN Next LT Pro Condensed" w:hAnsi="Arial" w:cs="Arial"/>
          <w:spacing w:val="5"/>
          <w:position w:val="1"/>
        </w:rPr>
        <w:t xml:space="preserve"> </w:t>
      </w:r>
      <w:r w:rsidRPr="00CA34F5">
        <w:rPr>
          <w:rFonts w:ascii="Arial" w:eastAsia="DIN Next LT Pro Condensed" w:hAnsi="Arial" w:cs="Arial"/>
          <w:position w:val="1"/>
        </w:rPr>
        <w:t>Cuentas</w:t>
      </w:r>
      <w:r w:rsidRPr="00CA34F5">
        <w:rPr>
          <w:rFonts w:ascii="Arial" w:eastAsia="DIN Next LT Pro Condensed" w:hAnsi="Arial" w:cs="Arial"/>
          <w:spacing w:val="11"/>
          <w:position w:val="1"/>
        </w:rPr>
        <w:t xml:space="preserve"> </w:t>
      </w:r>
      <w:r w:rsidRPr="00CA34F5">
        <w:rPr>
          <w:rFonts w:ascii="Arial" w:eastAsia="DIN Next LT Pro Condensed" w:hAnsi="Arial" w:cs="Arial"/>
          <w:position w:val="1"/>
        </w:rPr>
        <w:t>de</w:t>
      </w:r>
      <w:r w:rsidRPr="00CA34F5">
        <w:rPr>
          <w:rFonts w:ascii="Arial" w:eastAsia="DIN Next LT Pro Condensed" w:hAnsi="Arial" w:cs="Arial"/>
          <w:spacing w:val="4"/>
          <w:position w:val="1"/>
        </w:rPr>
        <w:t xml:space="preserve"> </w:t>
      </w:r>
      <w:r w:rsidRPr="00CA34F5">
        <w:rPr>
          <w:rFonts w:ascii="Arial" w:eastAsia="DIN Next LT Pro Condensed" w:hAnsi="Arial" w:cs="Arial"/>
          <w:position w:val="1"/>
        </w:rPr>
        <w:t>Orden</w:t>
      </w:r>
      <w:r w:rsidRPr="00CA34F5">
        <w:rPr>
          <w:rFonts w:ascii="Arial" w:eastAsia="DIN Next LT Pro Condensed" w:hAnsi="Arial" w:cs="Arial"/>
          <w:spacing w:val="9"/>
          <w:position w:val="1"/>
        </w:rPr>
        <w:t xml:space="preserve"> </w:t>
      </w:r>
      <w:r>
        <w:rPr>
          <w:rFonts w:ascii="Arial" w:eastAsia="DIN Next LT Pro Condensed" w:hAnsi="Arial" w:cs="Arial"/>
          <w:spacing w:val="9"/>
          <w:position w:val="1"/>
        </w:rPr>
        <w:t>Presupuestarias</w:t>
      </w:r>
      <w:r w:rsidRPr="00CA34F5">
        <w:rPr>
          <w:rFonts w:ascii="Arial" w:eastAsia="DIN Next LT Pro Condensed" w:hAnsi="Arial" w:cs="Arial"/>
          <w:spacing w:val="22"/>
          <w:position w:val="1"/>
        </w:rPr>
        <w:t xml:space="preserve"> </w:t>
      </w:r>
      <w:r w:rsidRPr="00CA34F5">
        <w:rPr>
          <w:rFonts w:ascii="Arial" w:eastAsia="DIN Next LT Pro Condensed" w:hAnsi="Arial" w:cs="Arial"/>
          <w:position w:val="1"/>
        </w:rPr>
        <w:t>presentan</w:t>
      </w:r>
      <w:r w:rsidRPr="00CA34F5">
        <w:rPr>
          <w:rFonts w:ascii="Arial" w:eastAsia="DIN Next LT Pro Condensed" w:hAnsi="Arial" w:cs="Arial"/>
          <w:spacing w:val="14"/>
          <w:position w:val="1"/>
        </w:rPr>
        <w:t xml:space="preserve"> </w:t>
      </w:r>
      <w:r w:rsidRPr="00CA34F5">
        <w:rPr>
          <w:rFonts w:ascii="Arial" w:eastAsia="DIN Next LT Pro Condensed" w:hAnsi="Arial" w:cs="Arial"/>
          <w:position w:val="1"/>
        </w:rPr>
        <w:t>al</w:t>
      </w:r>
      <w:r w:rsidRPr="00CA34F5">
        <w:rPr>
          <w:rFonts w:ascii="Arial" w:eastAsia="DIN Next LT Pro Condensed" w:hAnsi="Arial" w:cs="Arial"/>
          <w:spacing w:val="3"/>
          <w:position w:val="1"/>
        </w:rPr>
        <w:t xml:space="preserve"> </w:t>
      </w:r>
      <w:r w:rsidRPr="00CA34F5">
        <w:rPr>
          <w:rFonts w:ascii="Arial" w:eastAsia="DIN Next LT Pro Condensed" w:hAnsi="Arial" w:cs="Arial"/>
          <w:position w:val="1"/>
        </w:rPr>
        <w:t>31 de diciembre de 2021 los</w:t>
      </w:r>
      <w:r w:rsidRPr="00CA34F5">
        <w:rPr>
          <w:rFonts w:ascii="Arial" w:eastAsia="DIN Next LT Pro Condensed" w:hAnsi="Arial" w:cs="Arial"/>
          <w:spacing w:val="5"/>
          <w:position w:val="1"/>
        </w:rPr>
        <w:t xml:space="preserve"> </w:t>
      </w:r>
      <w:r w:rsidRPr="00CA34F5">
        <w:rPr>
          <w:rFonts w:ascii="Arial" w:eastAsia="DIN Next LT Pro Condensed" w:hAnsi="Arial" w:cs="Arial"/>
          <w:position w:val="1"/>
        </w:rPr>
        <w:t>siguientes</w:t>
      </w:r>
      <w:r w:rsidRPr="00CA34F5">
        <w:rPr>
          <w:rFonts w:ascii="Arial" w:eastAsia="DIN Next LT Pro Condensed" w:hAnsi="Arial" w:cs="Arial"/>
          <w:spacing w:val="15"/>
          <w:position w:val="1"/>
        </w:rPr>
        <w:t xml:space="preserve"> </w:t>
      </w:r>
      <w:r w:rsidRPr="00CA34F5">
        <w:rPr>
          <w:rFonts w:ascii="Arial" w:eastAsia="DIN Next LT Pro Condensed" w:hAnsi="Arial" w:cs="Arial"/>
          <w:w w:val="102"/>
          <w:position w:val="1"/>
        </w:rPr>
        <w:t>importes:</w:t>
      </w:r>
    </w:p>
    <w:tbl>
      <w:tblPr>
        <w:tblW w:w="10020" w:type="dxa"/>
        <w:jc w:val="center"/>
        <w:tblCellMar>
          <w:left w:w="70" w:type="dxa"/>
          <w:right w:w="70" w:type="dxa"/>
        </w:tblCellMar>
        <w:tblLook w:val="04A0" w:firstRow="1" w:lastRow="0" w:firstColumn="1" w:lastColumn="0" w:noHBand="0" w:noVBand="1"/>
      </w:tblPr>
      <w:tblGrid>
        <w:gridCol w:w="980"/>
        <w:gridCol w:w="3520"/>
        <w:gridCol w:w="1840"/>
        <w:gridCol w:w="1840"/>
        <w:gridCol w:w="1840"/>
      </w:tblGrid>
      <w:tr w:rsidR="00D94C4A" w:rsidRPr="00D94C4A" w14:paraId="3D69EB68" w14:textId="77777777" w:rsidTr="00D94C4A">
        <w:trPr>
          <w:trHeight w:val="600"/>
          <w:jc w:val="center"/>
        </w:trPr>
        <w:tc>
          <w:tcPr>
            <w:tcW w:w="98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0AE0045D" w14:textId="77777777" w:rsidR="00D94C4A" w:rsidRPr="00D94C4A" w:rsidRDefault="00D94C4A" w:rsidP="00D94C4A">
            <w:pPr>
              <w:spacing w:after="0" w:line="240" w:lineRule="auto"/>
              <w:rPr>
                <w:rFonts w:ascii="Arial" w:eastAsia="Times New Roman" w:hAnsi="Arial" w:cs="Arial"/>
                <w:b/>
                <w:bCs/>
                <w:color w:val="000000"/>
                <w:lang w:eastAsia="es-MX"/>
              </w:rPr>
            </w:pPr>
            <w:r w:rsidRPr="00D94C4A">
              <w:rPr>
                <w:rFonts w:ascii="Arial" w:eastAsia="Times New Roman" w:hAnsi="Arial" w:cs="Arial"/>
                <w:b/>
                <w:bCs/>
                <w:color w:val="000000"/>
                <w:lang w:eastAsia="es-MX"/>
              </w:rPr>
              <w:t>No de Cuenta</w:t>
            </w:r>
          </w:p>
        </w:tc>
        <w:tc>
          <w:tcPr>
            <w:tcW w:w="3520" w:type="dxa"/>
            <w:tcBorders>
              <w:top w:val="single" w:sz="4" w:space="0" w:color="auto"/>
              <w:left w:val="nil"/>
              <w:bottom w:val="single" w:sz="4" w:space="0" w:color="auto"/>
              <w:right w:val="single" w:sz="4" w:space="0" w:color="auto"/>
            </w:tcBorders>
            <w:shd w:val="clear" w:color="000000" w:fill="E7E6E6"/>
            <w:vAlign w:val="bottom"/>
            <w:hideMark/>
          </w:tcPr>
          <w:p w14:paraId="4F140AAC" w14:textId="77777777" w:rsidR="00D94C4A" w:rsidRPr="00D94C4A" w:rsidRDefault="00D94C4A" w:rsidP="00D94C4A">
            <w:pPr>
              <w:spacing w:after="0" w:line="240" w:lineRule="auto"/>
              <w:rPr>
                <w:rFonts w:ascii="Arial" w:eastAsia="Times New Roman" w:hAnsi="Arial" w:cs="Arial"/>
                <w:b/>
                <w:bCs/>
                <w:color w:val="000000"/>
                <w:lang w:eastAsia="es-MX"/>
              </w:rPr>
            </w:pPr>
            <w:r w:rsidRPr="00D94C4A">
              <w:rPr>
                <w:rFonts w:ascii="Arial" w:eastAsia="Times New Roman" w:hAnsi="Arial" w:cs="Arial"/>
                <w:b/>
                <w:bCs/>
                <w:color w:val="000000"/>
                <w:lang w:eastAsia="es-MX"/>
              </w:rPr>
              <w:t>Nombre de la Cuenta</w:t>
            </w:r>
          </w:p>
        </w:tc>
        <w:tc>
          <w:tcPr>
            <w:tcW w:w="1840" w:type="dxa"/>
            <w:tcBorders>
              <w:top w:val="single" w:sz="4" w:space="0" w:color="auto"/>
              <w:left w:val="nil"/>
              <w:bottom w:val="single" w:sz="4" w:space="0" w:color="auto"/>
              <w:right w:val="single" w:sz="4" w:space="0" w:color="auto"/>
            </w:tcBorders>
            <w:shd w:val="clear" w:color="000000" w:fill="E7E6E6"/>
            <w:vAlign w:val="bottom"/>
            <w:hideMark/>
          </w:tcPr>
          <w:p w14:paraId="4EEA4CBD" w14:textId="77777777" w:rsidR="00D94C4A" w:rsidRPr="00D94C4A" w:rsidRDefault="00D94C4A" w:rsidP="00D94C4A">
            <w:pPr>
              <w:spacing w:after="0" w:line="240" w:lineRule="auto"/>
              <w:rPr>
                <w:rFonts w:ascii="Arial" w:eastAsia="Times New Roman" w:hAnsi="Arial" w:cs="Arial"/>
                <w:b/>
                <w:bCs/>
                <w:color w:val="000000"/>
                <w:lang w:eastAsia="es-MX"/>
              </w:rPr>
            </w:pPr>
            <w:r w:rsidRPr="00D94C4A">
              <w:rPr>
                <w:rFonts w:ascii="Arial" w:eastAsia="Times New Roman" w:hAnsi="Arial" w:cs="Arial"/>
                <w:b/>
                <w:bCs/>
                <w:color w:val="000000"/>
                <w:lang w:eastAsia="es-MX"/>
              </w:rPr>
              <w:t xml:space="preserve"> Débito </w:t>
            </w:r>
          </w:p>
        </w:tc>
        <w:tc>
          <w:tcPr>
            <w:tcW w:w="1840" w:type="dxa"/>
            <w:tcBorders>
              <w:top w:val="single" w:sz="4" w:space="0" w:color="auto"/>
              <w:left w:val="nil"/>
              <w:bottom w:val="single" w:sz="4" w:space="0" w:color="auto"/>
              <w:right w:val="single" w:sz="4" w:space="0" w:color="auto"/>
            </w:tcBorders>
            <w:shd w:val="clear" w:color="000000" w:fill="E7E6E6"/>
            <w:vAlign w:val="bottom"/>
            <w:hideMark/>
          </w:tcPr>
          <w:p w14:paraId="0D8EC9DA" w14:textId="77777777" w:rsidR="00D94C4A" w:rsidRPr="00D94C4A" w:rsidRDefault="00D94C4A" w:rsidP="00D94C4A">
            <w:pPr>
              <w:spacing w:after="0" w:line="240" w:lineRule="auto"/>
              <w:rPr>
                <w:rFonts w:ascii="Arial" w:eastAsia="Times New Roman" w:hAnsi="Arial" w:cs="Arial"/>
                <w:b/>
                <w:bCs/>
                <w:color w:val="000000"/>
                <w:lang w:eastAsia="es-MX"/>
              </w:rPr>
            </w:pPr>
            <w:r w:rsidRPr="00D94C4A">
              <w:rPr>
                <w:rFonts w:ascii="Arial" w:eastAsia="Times New Roman" w:hAnsi="Arial" w:cs="Arial"/>
                <w:b/>
                <w:bCs/>
                <w:color w:val="000000"/>
                <w:lang w:eastAsia="es-MX"/>
              </w:rPr>
              <w:t xml:space="preserve"> Crédito </w:t>
            </w:r>
          </w:p>
        </w:tc>
        <w:tc>
          <w:tcPr>
            <w:tcW w:w="1840" w:type="dxa"/>
            <w:tcBorders>
              <w:top w:val="single" w:sz="4" w:space="0" w:color="auto"/>
              <w:left w:val="nil"/>
              <w:bottom w:val="single" w:sz="4" w:space="0" w:color="auto"/>
              <w:right w:val="single" w:sz="4" w:space="0" w:color="auto"/>
            </w:tcBorders>
            <w:shd w:val="clear" w:color="000000" w:fill="E7E6E6"/>
            <w:vAlign w:val="bottom"/>
            <w:hideMark/>
          </w:tcPr>
          <w:p w14:paraId="39E265D8" w14:textId="77777777" w:rsidR="00D94C4A" w:rsidRPr="00D94C4A" w:rsidRDefault="00D94C4A" w:rsidP="00D94C4A">
            <w:pPr>
              <w:spacing w:after="0" w:line="240" w:lineRule="auto"/>
              <w:rPr>
                <w:rFonts w:ascii="Arial" w:eastAsia="Times New Roman" w:hAnsi="Arial" w:cs="Arial"/>
                <w:b/>
                <w:bCs/>
                <w:color w:val="000000"/>
                <w:lang w:eastAsia="es-MX"/>
              </w:rPr>
            </w:pPr>
            <w:r w:rsidRPr="00D94C4A">
              <w:rPr>
                <w:rFonts w:ascii="Arial" w:eastAsia="Times New Roman" w:hAnsi="Arial" w:cs="Arial"/>
                <w:b/>
                <w:bCs/>
                <w:color w:val="000000"/>
                <w:lang w:eastAsia="es-MX"/>
              </w:rPr>
              <w:t xml:space="preserve"> Saldo Final </w:t>
            </w:r>
          </w:p>
        </w:tc>
      </w:tr>
      <w:tr w:rsidR="00D94C4A" w:rsidRPr="00D94C4A" w14:paraId="590B0549" w14:textId="77777777" w:rsidTr="00D94C4A">
        <w:trPr>
          <w:trHeight w:val="499"/>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378C9C1" w14:textId="77777777" w:rsidR="00D94C4A" w:rsidRPr="00D94C4A" w:rsidRDefault="00D94C4A" w:rsidP="00D94C4A">
            <w:pPr>
              <w:spacing w:after="0" w:line="240" w:lineRule="auto"/>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811</w:t>
            </w:r>
          </w:p>
        </w:tc>
        <w:tc>
          <w:tcPr>
            <w:tcW w:w="3520" w:type="dxa"/>
            <w:tcBorders>
              <w:top w:val="nil"/>
              <w:left w:val="nil"/>
              <w:bottom w:val="single" w:sz="4" w:space="0" w:color="auto"/>
              <w:right w:val="single" w:sz="4" w:space="0" w:color="auto"/>
            </w:tcBorders>
            <w:shd w:val="clear" w:color="auto" w:fill="auto"/>
            <w:vAlign w:val="center"/>
            <w:hideMark/>
          </w:tcPr>
          <w:p w14:paraId="6BE0A3D6" w14:textId="77777777" w:rsidR="00D94C4A" w:rsidRPr="00D94C4A" w:rsidRDefault="00D94C4A" w:rsidP="00D94C4A">
            <w:pPr>
              <w:spacing w:after="0" w:line="240" w:lineRule="auto"/>
              <w:jc w:val="lef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Ley De Ingresos Estimada</w:t>
            </w:r>
          </w:p>
        </w:tc>
        <w:tc>
          <w:tcPr>
            <w:tcW w:w="1840" w:type="dxa"/>
            <w:tcBorders>
              <w:top w:val="nil"/>
              <w:left w:val="nil"/>
              <w:bottom w:val="single" w:sz="4" w:space="0" w:color="auto"/>
              <w:right w:val="single" w:sz="4" w:space="0" w:color="auto"/>
            </w:tcBorders>
            <w:shd w:val="clear" w:color="auto" w:fill="auto"/>
            <w:noWrap/>
            <w:vAlign w:val="center"/>
            <w:hideMark/>
          </w:tcPr>
          <w:p w14:paraId="23FA47D3" w14:textId="0C05B2F6" w:rsidR="00D94C4A" w:rsidRPr="00D94C4A" w:rsidRDefault="00FB4D14" w:rsidP="00D94C4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51,098,955,328</w:t>
            </w:r>
            <w:r w:rsidR="00D94C4A" w:rsidRPr="00D94C4A">
              <w:rPr>
                <w:rFonts w:ascii="Arial" w:eastAsia="Times New Roman" w:hAnsi="Arial" w:cs="Arial"/>
                <w:color w:val="000000"/>
                <w:sz w:val="20"/>
                <w:szCs w:val="20"/>
                <w:lang w:eastAsia="es-MX"/>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14:paraId="53A21F86" w14:textId="77777777" w:rsidR="00D94C4A" w:rsidRPr="00D94C4A" w:rsidRDefault="00D94C4A" w:rsidP="00D94C4A">
            <w:pPr>
              <w:spacing w:after="0" w:line="240" w:lineRule="auto"/>
              <w:jc w:val="righ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0</w:t>
            </w:r>
          </w:p>
        </w:tc>
        <w:tc>
          <w:tcPr>
            <w:tcW w:w="1840" w:type="dxa"/>
            <w:tcBorders>
              <w:top w:val="nil"/>
              <w:left w:val="nil"/>
              <w:bottom w:val="single" w:sz="4" w:space="0" w:color="auto"/>
              <w:right w:val="single" w:sz="4" w:space="0" w:color="auto"/>
            </w:tcBorders>
            <w:shd w:val="clear" w:color="auto" w:fill="auto"/>
            <w:noWrap/>
            <w:vAlign w:val="center"/>
            <w:hideMark/>
          </w:tcPr>
          <w:p w14:paraId="0DA04886" w14:textId="07D82A66" w:rsidR="00D94C4A" w:rsidRPr="00D94C4A" w:rsidRDefault="00FB4D14" w:rsidP="00D94C4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51,098,955,328</w:t>
            </w:r>
            <w:r w:rsidR="00D94C4A" w:rsidRPr="00D94C4A">
              <w:rPr>
                <w:rFonts w:ascii="Arial" w:eastAsia="Times New Roman" w:hAnsi="Arial" w:cs="Arial"/>
                <w:color w:val="000000"/>
                <w:sz w:val="20"/>
                <w:szCs w:val="20"/>
                <w:lang w:eastAsia="es-MX"/>
              </w:rPr>
              <w:t xml:space="preserve"> </w:t>
            </w:r>
          </w:p>
        </w:tc>
      </w:tr>
      <w:tr w:rsidR="00D94C4A" w:rsidRPr="00D94C4A" w14:paraId="7AA8A7B5" w14:textId="77777777" w:rsidTr="00D94C4A">
        <w:trPr>
          <w:trHeight w:val="499"/>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6D69BBC" w14:textId="77777777" w:rsidR="00D94C4A" w:rsidRPr="00D94C4A" w:rsidRDefault="00D94C4A" w:rsidP="00D94C4A">
            <w:pPr>
              <w:spacing w:after="0" w:line="240" w:lineRule="auto"/>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812</w:t>
            </w:r>
          </w:p>
        </w:tc>
        <w:tc>
          <w:tcPr>
            <w:tcW w:w="3520" w:type="dxa"/>
            <w:tcBorders>
              <w:top w:val="nil"/>
              <w:left w:val="nil"/>
              <w:bottom w:val="single" w:sz="4" w:space="0" w:color="auto"/>
              <w:right w:val="single" w:sz="4" w:space="0" w:color="auto"/>
            </w:tcBorders>
            <w:shd w:val="clear" w:color="auto" w:fill="auto"/>
            <w:vAlign w:val="center"/>
            <w:hideMark/>
          </w:tcPr>
          <w:p w14:paraId="42214973" w14:textId="77777777" w:rsidR="00D94C4A" w:rsidRPr="00D94C4A" w:rsidRDefault="00D94C4A" w:rsidP="00D94C4A">
            <w:pPr>
              <w:spacing w:after="0" w:line="240" w:lineRule="auto"/>
              <w:jc w:val="lef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Ley De Ingresos Por Ejecutar</w:t>
            </w:r>
          </w:p>
        </w:tc>
        <w:tc>
          <w:tcPr>
            <w:tcW w:w="1840" w:type="dxa"/>
            <w:tcBorders>
              <w:top w:val="nil"/>
              <w:left w:val="nil"/>
              <w:bottom w:val="single" w:sz="4" w:space="0" w:color="auto"/>
              <w:right w:val="single" w:sz="4" w:space="0" w:color="auto"/>
            </w:tcBorders>
            <w:shd w:val="clear" w:color="auto" w:fill="auto"/>
            <w:noWrap/>
            <w:vAlign w:val="center"/>
            <w:hideMark/>
          </w:tcPr>
          <w:p w14:paraId="120B8591" w14:textId="77777777" w:rsidR="00D94C4A" w:rsidRPr="00D94C4A" w:rsidRDefault="00D94C4A" w:rsidP="00D94C4A">
            <w:pPr>
              <w:spacing w:after="0" w:line="240" w:lineRule="auto"/>
              <w:jc w:val="righ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0</w:t>
            </w:r>
          </w:p>
        </w:tc>
        <w:tc>
          <w:tcPr>
            <w:tcW w:w="1840" w:type="dxa"/>
            <w:tcBorders>
              <w:top w:val="nil"/>
              <w:left w:val="nil"/>
              <w:bottom w:val="single" w:sz="4" w:space="0" w:color="auto"/>
              <w:right w:val="single" w:sz="4" w:space="0" w:color="auto"/>
            </w:tcBorders>
            <w:shd w:val="clear" w:color="auto" w:fill="auto"/>
            <w:noWrap/>
            <w:vAlign w:val="center"/>
            <w:hideMark/>
          </w:tcPr>
          <w:p w14:paraId="5F0FB569" w14:textId="6E053AAF" w:rsidR="00D94C4A" w:rsidRPr="00D94C4A" w:rsidRDefault="00FB4D14" w:rsidP="00D94C4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w:t>
            </w:r>
            <w:r w:rsidR="00D94C4A" w:rsidRPr="00D94C4A">
              <w:rPr>
                <w:rFonts w:ascii="Arial" w:eastAsia="Times New Roman" w:hAnsi="Arial" w:cs="Arial"/>
                <w:color w:val="000000"/>
                <w:sz w:val="20"/>
                <w:szCs w:val="20"/>
                <w:lang w:eastAsia="es-MX"/>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14:paraId="78AF5DA6" w14:textId="4BD728FD" w:rsidR="00D94C4A" w:rsidRPr="00D94C4A" w:rsidRDefault="00FB4D14" w:rsidP="00D94C4A">
            <w:pPr>
              <w:spacing w:after="0" w:line="240" w:lineRule="auto"/>
              <w:jc w:val="righ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0</w:t>
            </w:r>
            <w:r>
              <w:rPr>
                <w:rFonts w:ascii="Arial" w:eastAsia="Times New Roman" w:hAnsi="Arial" w:cs="Arial"/>
                <w:color w:val="000000"/>
                <w:sz w:val="20"/>
                <w:szCs w:val="20"/>
                <w:lang w:eastAsia="es-MX"/>
              </w:rPr>
              <w:t xml:space="preserve">                   </w:t>
            </w:r>
            <w:r w:rsidR="00D94C4A" w:rsidRPr="00D94C4A">
              <w:rPr>
                <w:rFonts w:ascii="Arial" w:eastAsia="Times New Roman" w:hAnsi="Arial" w:cs="Arial"/>
                <w:color w:val="000000"/>
                <w:sz w:val="20"/>
                <w:szCs w:val="20"/>
                <w:lang w:eastAsia="es-MX"/>
              </w:rPr>
              <w:t xml:space="preserve"> </w:t>
            </w:r>
          </w:p>
        </w:tc>
      </w:tr>
      <w:tr w:rsidR="00D94C4A" w:rsidRPr="00D94C4A" w14:paraId="1DA72C62" w14:textId="77777777" w:rsidTr="00D94C4A">
        <w:trPr>
          <w:trHeight w:val="570"/>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336B514" w14:textId="77777777" w:rsidR="00D94C4A" w:rsidRPr="00D94C4A" w:rsidRDefault="00D94C4A" w:rsidP="00D94C4A">
            <w:pPr>
              <w:spacing w:after="0" w:line="240" w:lineRule="auto"/>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813</w:t>
            </w:r>
          </w:p>
        </w:tc>
        <w:tc>
          <w:tcPr>
            <w:tcW w:w="3520" w:type="dxa"/>
            <w:tcBorders>
              <w:top w:val="nil"/>
              <w:left w:val="nil"/>
              <w:bottom w:val="single" w:sz="4" w:space="0" w:color="auto"/>
              <w:right w:val="single" w:sz="4" w:space="0" w:color="auto"/>
            </w:tcBorders>
            <w:shd w:val="clear" w:color="auto" w:fill="auto"/>
            <w:vAlign w:val="center"/>
            <w:hideMark/>
          </w:tcPr>
          <w:p w14:paraId="54CD9083" w14:textId="77777777" w:rsidR="00D94C4A" w:rsidRPr="00D94C4A" w:rsidRDefault="00D94C4A" w:rsidP="00D94C4A">
            <w:pPr>
              <w:spacing w:after="0" w:line="240" w:lineRule="auto"/>
              <w:jc w:val="lef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Modificaciones A La Ley De Ingresos Estimada</w:t>
            </w:r>
          </w:p>
        </w:tc>
        <w:tc>
          <w:tcPr>
            <w:tcW w:w="1840" w:type="dxa"/>
            <w:tcBorders>
              <w:top w:val="nil"/>
              <w:left w:val="nil"/>
              <w:bottom w:val="single" w:sz="4" w:space="0" w:color="auto"/>
              <w:right w:val="single" w:sz="4" w:space="0" w:color="auto"/>
            </w:tcBorders>
            <w:shd w:val="clear" w:color="auto" w:fill="auto"/>
            <w:noWrap/>
            <w:vAlign w:val="center"/>
            <w:hideMark/>
          </w:tcPr>
          <w:p w14:paraId="6D2DE008" w14:textId="4BF567AD" w:rsidR="00D94C4A" w:rsidRPr="00D94C4A" w:rsidRDefault="00FB4D14" w:rsidP="00D94C4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10,504,808,704</w:t>
            </w:r>
            <w:r w:rsidR="00D94C4A" w:rsidRPr="00D94C4A">
              <w:rPr>
                <w:rFonts w:ascii="Arial" w:eastAsia="Times New Roman" w:hAnsi="Arial" w:cs="Arial"/>
                <w:color w:val="000000"/>
                <w:sz w:val="20"/>
                <w:szCs w:val="20"/>
                <w:lang w:eastAsia="es-MX"/>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14:paraId="13F88912" w14:textId="77777777" w:rsidR="00D94C4A" w:rsidRPr="00D94C4A" w:rsidRDefault="00D94C4A" w:rsidP="00D94C4A">
            <w:pPr>
              <w:spacing w:after="0" w:line="240" w:lineRule="auto"/>
              <w:jc w:val="righ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0</w:t>
            </w:r>
          </w:p>
        </w:tc>
        <w:tc>
          <w:tcPr>
            <w:tcW w:w="1840" w:type="dxa"/>
            <w:tcBorders>
              <w:top w:val="nil"/>
              <w:left w:val="nil"/>
              <w:bottom w:val="single" w:sz="4" w:space="0" w:color="auto"/>
              <w:right w:val="single" w:sz="4" w:space="0" w:color="auto"/>
            </w:tcBorders>
            <w:shd w:val="clear" w:color="auto" w:fill="auto"/>
            <w:noWrap/>
            <w:vAlign w:val="center"/>
            <w:hideMark/>
          </w:tcPr>
          <w:p w14:paraId="40AF3C40" w14:textId="04AAB63A" w:rsidR="00D94C4A" w:rsidRPr="00D94C4A" w:rsidRDefault="00FB4D14" w:rsidP="00D94C4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10,504,808,704</w:t>
            </w:r>
            <w:r w:rsidR="00D94C4A" w:rsidRPr="00D94C4A">
              <w:rPr>
                <w:rFonts w:ascii="Arial" w:eastAsia="Times New Roman" w:hAnsi="Arial" w:cs="Arial"/>
                <w:color w:val="000000"/>
                <w:sz w:val="20"/>
                <w:szCs w:val="20"/>
                <w:lang w:eastAsia="es-MX"/>
              </w:rPr>
              <w:t xml:space="preserve"> </w:t>
            </w:r>
          </w:p>
        </w:tc>
      </w:tr>
      <w:tr w:rsidR="00D94C4A" w:rsidRPr="00D94C4A" w14:paraId="4CAA4D0C" w14:textId="77777777" w:rsidTr="00D94C4A">
        <w:trPr>
          <w:trHeight w:val="499"/>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15E69DE" w14:textId="77777777" w:rsidR="00D94C4A" w:rsidRPr="00D94C4A" w:rsidRDefault="00D94C4A" w:rsidP="00D94C4A">
            <w:pPr>
              <w:spacing w:after="0" w:line="240" w:lineRule="auto"/>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814</w:t>
            </w:r>
          </w:p>
        </w:tc>
        <w:tc>
          <w:tcPr>
            <w:tcW w:w="3520" w:type="dxa"/>
            <w:tcBorders>
              <w:top w:val="nil"/>
              <w:left w:val="nil"/>
              <w:bottom w:val="single" w:sz="4" w:space="0" w:color="auto"/>
              <w:right w:val="single" w:sz="4" w:space="0" w:color="auto"/>
            </w:tcBorders>
            <w:shd w:val="clear" w:color="auto" w:fill="auto"/>
            <w:vAlign w:val="center"/>
            <w:hideMark/>
          </w:tcPr>
          <w:p w14:paraId="0E104151" w14:textId="77777777" w:rsidR="00D94C4A" w:rsidRPr="00D94C4A" w:rsidRDefault="00D94C4A" w:rsidP="00D94C4A">
            <w:pPr>
              <w:spacing w:after="0" w:line="240" w:lineRule="auto"/>
              <w:jc w:val="lef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Ley De Ingresos Devengada</w:t>
            </w:r>
          </w:p>
        </w:tc>
        <w:tc>
          <w:tcPr>
            <w:tcW w:w="1840" w:type="dxa"/>
            <w:tcBorders>
              <w:top w:val="nil"/>
              <w:left w:val="nil"/>
              <w:bottom w:val="single" w:sz="4" w:space="0" w:color="auto"/>
              <w:right w:val="single" w:sz="4" w:space="0" w:color="auto"/>
            </w:tcBorders>
            <w:shd w:val="clear" w:color="auto" w:fill="auto"/>
            <w:noWrap/>
            <w:vAlign w:val="center"/>
            <w:hideMark/>
          </w:tcPr>
          <w:p w14:paraId="20A687D6" w14:textId="77777777" w:rsidR="00D94C4A" w:rsidRPr="00D94C4A" w:rsidRDefault="00D94C4A" w:rsidP="00D94C4A">
            <w:pPr>
              <w:spacing w:after="0" w:line="240" w:lineRule="auto"/>
              <w:jc w:val="righ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0</w:t>
            </w:r>
          </w:p>
        </w:tc>
        <w:tc>
          <w:tcPr>
            <w:tcW w:w="1840" w:type="dxa"/>
            <w:tcBorders>
              <w:top w:val="nil"/>
              <w:left w:val="nil"/>
              <w:bottom w:val="single" w:sz="4" w:space="0" w:color="auto"/>
              <w:right w:val="single" w:sz="4" w:space="0" w:color="auto"/>
            </w:tcBorders>
            <w:shd w:val="clear" w:color="auto" w:fill="auto"/>
            <w:noWrap/>
            <w:vAlign w:val="center"/>
            <w:hideMark/>
          </w:tcPr>
          <w:p w14:paraId="2FB5D431" w14:textId="77777777" w:rsidR="00D94C4A" w:rsidRPr="00D94C4A" w:rsidRDefault="00D94C4A" w:rsidP="00D94C4A">
            <w:pPr>
              <w:spacing w:after="0" w:line="240" w:lineRule="auto"/>
              <w:jc w:val="righ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0</w:t>
            </w:r>
          </w:p>
        </w:tc>
        <w:tc>
          <w:tcPr>
            <w:tcW w:w="1840" w:type="dxa"/>
            <w:tcBorders>
              <w:top w:val="nil"/>
              <w:left w:val="nil"/>
              <w:bottom w:val="single" w:sz="4" w:space="0" w:color="auto"/>
              <w:right w:val="single" w:sz="4" w:space="0" w:color="auto"/>
            </w:tcBorders>
            <w:shd w:val="clear" w:color="auto" w:fill="auto"/>
            <w:noWrap/>
            <w:vAlign w:val="center"/>
            <w:hideMark/>
          </w:tcPr>
          <w:p w14:paraId="6D9A1F29" w14:textId="77777777" w:rsidR="00D94C4A" w:rsidRPr="00D94C4A" w:rsidRDefault="00D94C4A" w:rsidP="00D94C4A">
            <w:pPr>
              <w:spacing w:after="0" w:line="240" w:lineRule="auto"/>
              <w:jc w:val="righ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0</w:t>
            </w:r>
          </w:p>
        </w:tc>
      </w:tr>
      <w:tr w:rsidR="00D94C4A" w:rsidRPr="00D94C4A" w14:paraId="0CD87AA3" w14:textId="77777777" w:rsidTr="00D94C4A">
        <w:trPr>
          <w:trHeight w:val="499"/>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C5AA797" w14:textId="77777777" w:rsidR="00D94C4A" w:rsidRPr="00D94C4A" w:rsidRDefault="00D94C4A" w:rsidP="00D94C4A">
            <w:pPr>
              <w:spacing w:after="0" w:line="240" w:lineRule="auto"/>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815</w:t>
            </w:r>
          </w:p>
        </w:tc>
        <w:tc>
          <w:tcPr>
            <w:tcW w:w="3520" w:type="dxa"/>
            <w:tcBorders>
              <w:top w:val="nil"/>
              <w:left w:val="nil"/>
              <w:bottom w:val="single" w:sz="4" w:space="0" w:color="auto"/>
              <w:right w:val="single" w:sz="4" w:space="0" w:color="auto"/>
            </w:tcBorders>
            <w:shd w:val="clear" w:color="auto" w:fill="auto"/>
            <w:vAlign w:val="center"/>
            <w:hideMark/>
          </w:tcPr>
          <w:p w14:paraId="7CDC2AB6" w14:textId="77777777" w:rsidR="00D94C4A" w:rsidRPr="00D94C4A" w:rsidRDefault="00D94C4A" w:rsidP="00D94C4A">
            <w:pPr>
              <w:spacing w:after="0" w:line="240" w:lineRule="auto"/>
              <w:jc w:val="lef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Ley De Ingresos Recaudada</w:t>
            </w:r>
          </w:p>
        </w:tc>
        <w:tc>
          <w:tcPr>
            <w:tcW w:w="1840" w:type="dxa"/>
            <w:tcBorders>
              <w:top w:val="nil"/>
              <w:left w:val="nil"/>
              <w:bottom w:val="single" w:sz="4" w:space="0" w:color="auto"/>
              <w:right w:val="single" w:sz="4" w:space="0" w:color="auto"/>
            </w:tcBorders>
            <w:shd w:val="clear" w:color="auto" w:fill="auto"/>
            <w:noWrap/>
            <w:vAlign w:val="center"/>
            <w:hideMark/>
          </w:tcPr>
          <w:p w14:paraId="255F86AC" w14:textId="77777777" w:rsidR="00D94C4A" w:rsidRPr="00D94C4A" w:rsidRDefault="00D94C4A" w:rsidP="00D94C4A">
            <w:pPr>
              <w:spacing w:after="0" w:line="240" w:lineRule="auto"/>
              <w:jc w:val="righ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0</w:t>
            </w:r>
          </w:p>
        </w:tc>
        <w:tc>
          <w:tcPr>
            <w:tcW w:w="1840" w:type="dxa"/>
            <w:tcBorders>
              <w:top w:val="nil"/>
              <w:left w:val="nil"/>
              <w:bottom w:val="single" w:sz="4" w:space="0" w:color="auto"/>
              <w:right w:val="single" w:sz="4" w:space="0" w:color="auto"/>
            </w:tcBorders>
            <w:shd w:val="clear" w:color="auto" w:fill="auto"/>
            <w:noWrap/>
            <w:vAlign w:val="center"/>
            <w:hideMark/>
          </w:tcPr>
          <w:p w14:paraId="5CBE4661" w14:textId="4EC1638E" w:rsidR="00D94C4A" w:rsidRPr="00D94C4A" w:rsidRDefault="00FB4D14" w:rsidP="00D94C4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61,603,764,032</w:t>
            </w:r>
            <w:r w:rsidR="00D94C4A" w:rsidRPr="00D94C4A">
              <w:rPr>
                <w:rFonts w:ascii="Arial" w:eastAsia="Times New Roman" w:hAnsi="Arial" w:cs="Arial"/>
                <w:color w:val="000000"/>
                <w:sz w:val="20"/>
                <w:szCs w:val="20"/>
                <w:lang w:eastAsia="es-MX"/>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14:paraId="0A9EE589" w14:textId="44F6D469" w:rsidR="00D94C4A" w:rsidRPr="00D94C4A" w:rsidRDefault="00FB4D14" w:rsidP="00D94C4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-61,603,764,032</w:t>
            </w:r>
            <w:r w:rsidR="00D94C4A" w:rsidRPr="00D94C4A">
              <w:rPr>
                <w:rFonts w:ascii="Arial" w:eastAsia="Times New Roman" w:hAnsi="Arial" w:cs="Arial"/>
                <w:color w:val="000000"/>
                <w:sz w:val="20"/>
                <w:szCs w:val="20"/>
                <w:lang w:eastAsia="es-MX"/>
              </w:rPr>
              <w:t xml:space="preserve"> </w:t>
            </w:r>
          </w:p>
        </w:tc>
      </w:tr>
      <w:tr w:rsidR="00D94C4A" w:rsidRPr="00D94C4A" w14:paraId="0533E80F" w14:textId="77777777" w:rsidTr="00D94C4A">
        <w:trPr>
          <w:trHeight w:val="499"/>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7E565BA" w14:textId="77777777" w:rsidR="00D94C4A" w:rsidRPr="00D94C4A" w:rsidRDefault="00D94C4A" w:rsidP="00D94C4A">
            <w:pPr>
              <w:spacing w:after="0" w:line="240" w:lineRule="auto"/>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821</w:t>
            </w:r>
          </w:p>
        </w:tc>
        <w:tc>
          <w:tcPr>
            <w:tcW w:w="3520" w:type="dxa"/>
            <w:tcBorders>
              <w:top w:val="nil"/>
              <w:left w:val="nil"/>
              <w:bottom w:val="single" w:sz="4" w:space="0" w:color="auto"/>
              <w:right w:val="single" w:sz="4" w:space="0" w:color="auto"/>
            </w:tcBorders>
            <w:shd w:val="clear" w:color="auto" w:fill="auto"/>
            <w:vAlign w:val="center"/>
            <w:hideMark/>
          </w:tcPr>
          <w:p w14:paraId="667C7858" w14:textId="77777777" w:rsidR="00D94C4A" w:rsidRPr="00D94C4A" w:rsidRDefault="00D94C4A" w:rsidP="00D94C4A">
            <w:pPr>
              <w:spacing w:after="0" w:line="240" w:lineRule="auto"/>
              <w:jc w:val="lef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Presupuesto De Egresos Aprobado</w:t>
            </w:r>
          </w:p>
        </w:tc>
        <w:tc>
          <w:tcPr>
            <w:tcW w:w="1840" w:type="dxa"/>
            <w:tcBorders>
              <w:top w:val="nil"/>
              <w:left w:val="nil"/>
              <w:bottom w:val="single" w:sz="4" w:space="0" w:color="auto"/>
              <w:right w:val="single" w:sz="4" w:space="0" w:color="auto"/>
            </w:tcBorders>
            <w:shd w:val="clear" w:color="auto" w:fill="auto"/>
            <w:noWrap/>
            <w:vAlign w:val="center"/>
            <w:hideMark/>
          </w:tcPr>
          <w:p w14:paraId="5021B7C3" w14:textId="77777777" w:rsidR="00D94C4A" w:rsidRPr="00D94C4A" w:rsidRDefault="00D94C4A" w:rsidP="00D94C4A">
            <w:pPr>
              <w:spacing w:after="0" w:line="240" w:lineRule="auto"/>
              <w:jc w:val="righ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0</w:t>
            </w:r>
          </w:p>
        </w:tc>
        <w:tc>
          <w:tcPr>
            <w:tcW w:w="1840" w:type="dxa"/>
            <w:tcBorders>
              <w:top w:val="nil"/>
              <w:left w:val="nil"/>
              <w:bottom w:val="single" w:sz="4" w:space="0" w:color="auto"/>
              <w:right w:val="single" w:sz="4" w:space="0" w:color="auto"/>
            </w:tcBorders>
            <w:shd w:val="clear" w:color="auto" w:fill="auto"/>
            <w:noWrap/>
            <w:vAlign w:val="center"/>
            <w:hideMark/>
          </w:tcPr>
          <w:p w14:paraId="38938DFB" w14:textId="03C95792" w:rsidR="00D94C4A" w:rsidRPr="00D94C4A" w:rsidRDefault="00FB4D14" w:rsidP="00D94C4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51,098,955,328</w:t>
            </w:r>
            <w:r w:rsidR="00D94C4A" w:rsidRPr="00D94C4A">
              <w:rPr>
                <w:rFonts w:ascii="Arial" w:eastAsia="Times New Roman" w:hAnsi="Arial" w:cs="Arial"/>
                <w:color w:val="000000"/>
                <w:sz w:val="20"/>
                <w:szCs w:val="20"/>
                <w:lang w:eastAsia="es-MX"/>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14:paraId="0FBA9D5E" w14:textId="3D7F1BAE" w:rsidR="00D94C4A" w:rsidRPr="00D94C4A" w:rsidRDefault="00FB4D14" w:rsidP="00D94C4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-51,098,955,328</w:t>
            </w:r>
            <w:r w:rsidR="00D94C4A" w:rsidRPr="00D94C4A">
              <w:rPr>
                <w:rFonts w:ascii="Arial" w:eastAsia="Times New Roman" w:hAnsi="Arial" w:cs="Arial"/>
                <w:color w:val="000000"/>
                <w:sz w:val="20"/>
                <w:szCs w:val="20"/>
                <w:lang w:eastAsia="es-MX"/>
              </w:rPr>
              <w:t xml:space="preserve"> </w:t>
            </w:r>
          </w:p>
        </w:tc>
      </w:tr>
      <w:tr w:rsidR="00D94C4A" w:rsidRPr="00D94C4A" w14:paraId="3753460C" w14:textId="77777777" w:rsidTr="00D94C4A">
        <w:trPr>
          <w:trHeight w:val="499"/>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35A30D0" w14:textId="77777777" w:rsidR="00D94C4A" w:rsidRPr="00D94C4A" w:rsidRDefault="00D94C4A" w:rsidP="00D94C4A">
            <w:pPr>
              <w:spacing w:after="0" w:line="240" w:lineRule="auto"/>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822</w:t>
            </w:r>
          </w:p>
        </w:tc>
        <w:tc>
          <w:tcPr>
            <w:tcW w:w="3520" w:type="dxa"/>
            <w:tcBorders>
              <w:top w:val="nil"/>
              <w:left w:val="nil"/>
              <w:bottom w:val="single" w:sz="4" w:space="0" w:color="auto"/>
              <w:right w:val="single" w:sz="4" w:space="0" w:color="auto"/>
            </w:tcBorders>
            <w:shd w:val="clear" w:color="auto" w:fill="auto"/>
            <w:vAlign w:val="center"/>
            <w:hideMark/>
          </w:tcPr>
          <w:p w14:paraId="260F593B" w14:textId="77777777" w:rsidR="00D94C4A" w:rsidRPr="00D94C4A" w:rsidRDefault="00D94C4A" w:rsidP="00D94C4A">
            <w:pPr>
              <w:spacing w:after="0" w:line="240" w:lineRule="auto"/>
              <w:jc w:val="lef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Presupuesto De Egresos Por Ejercer</w:t>
            </w:r>
          </w:p>
        </w:tc>
        <w:tc>
          <w:tcPr>
            <w:tcW w:w="1840" w:type="dxa"/>
            <w:tcBorders>
              <w:top w:val="nil"/>
              <w:left w:val="nil"/>
              <w:bottom w:val="single" w:sz="4" w:space="0" w:color="auto"/>
              <w:right w:val="single" w:sz="4" w:space="0" w:color="auto"/>
            </w:tcBorders>
            <w:shd w:val="clear" w:color="auto" w:fill="auto"/>
            <w:noWrap/>
            <w:vAlign w:val="center"/>
            <w:hideMark/>
          </w:tcPr>
          <w:p w14:paraId="35DEF2B8" w14:textId="77777777" w:rsidR="00D94C4A" w:rsidRPr="00D94C4A" w:rsidRDefault="00D94C4A" w:rsidP="00D94C4A">
            <w:pPr>
              <w:spacing w:after="0" w:line="240" w:lineRule="auto"/>
              <w:jc w:val="righ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0</w:t>
            </w:r>
          </w:p>
        </w:tc>
        <w:tc>
          <w:tcPr>
            <w:tcW w:w="1840" w:type="dxa"/>
            <w:tcBorders>
              <w:top w:val="nil"/>
              <w:left w:val="nil"/>
              <w:bottom w:val="single" w:sz="4" w:space="0" w:color="auto"/>
              <w:right w:val="single" w:sz="4" w:space="0" w:color="auto"/>
            </w:tcBorders>
            <w:shd w:val="clear" w:color="auto" w:fill="auto"/>
            <w:noWrap/>
            <w:vAlign w:val="center"/>
            <w:hideMark/>
          </w:tcPr>
          <w:p w14:paraId="45123EDB" w14:textId="77777777" w:rsidR="00D94C4A" w:rsidRPr="00D94C4A" w:rsidRDefault="00D94C4A" w:rsidP="00D94C4A">
            <w:pPr>
              <w:spacing w:after="0" w:line="240" w:lineRule="auto"/>
              <w:jc w:val="righ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0</w:t>
            </w:r>
          </w:p>
        </w:tc>
        <w:tc>
          <w:tcPr>
            <w:tcW w:w="1840" w:type="dxa"/>
            <w:tcBorders>
              <w:top w:val="nil"/>
              <w:left w:val="nil"/>
              <w:bottom w:val="single" w:sz="4" w:space="0" w:color="auto"/>
              <w:right w:val="single" w:sz="4" w:space="0" w:color="auto"/>
            </w:tcBorders>
            <w:shd w:val="clear" w:color="auto" w:fill="auto"/>
            <w:noWrap/>
            <w:vAlign w:val="center"/>
            <w:hideMark/>
          </w:tcPr>
          <w:p w14:paraId="6802325F" w14:textId="77777777" w:rsidR="00D94C4A" w:rsidRPr="00D94C4A" w:rsidRDefault="00D94C4A" w:rsidP="00D94C4A">
            <w:pPr>
              <w:spacing w:after="0" w:line="240" w:lineRule="auto"/>
              <w:jc w:val="righ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0</w:t>
            </w:r>
          </w:p>
        </w:tc>
      </w:tr>
      <w:tr w:rsidR="00D94C4A" w:rsidRPr="00D94C4A" w14:paraId="68287CC5" w14:textId="77777777" w:rsidTr="00D94C4A">
        <w:trPr>
          <w:trHeight w:val="570"/>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0B3048B" w14:textId="77777777" w:rsidR="00D94C4A" w:rsidRPr="00D94C4A" w:rsidRDefault="00D94C4A" w:rsidP="00D94C4A">
            <w:pPr>
              <w:spacing w:after="0" w:line="240" w:lineRule="auto"/>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823</w:t>
            </w:r>
          </w:p>
        </w:tc>
        <w:tc>
          <w:tcPr>
            <w:tcW w:w="3520" w:type="dxa"/>
            <w:tcBorders>
              <w:top w:val="nil"/>
              <w:left w:val="nil"/>
              <w:bottom w:val="single" w:sz="4" w:space="0" w:color="auto"/>
              <w:right w:val="single" w:sz="4" w:space="0" w:color="auto"/>
            </w:tcBorders>
            <w:shd w:val="clear" w:color="auto" w:fill="auto"/>
            <w:vAlign w:val="center"/>
            <w:hideMark/>
          </w:tcPr>
          <w:p w14:paraId="3EC1F53B" w14:textId="77777777" w:rsidR="00D94C4A" w:rsidRPr="00D94C4A" w:rsidRDefault="00D94C4A" w:rsidP="00D94C4A">
            <w:pPr>
              <w:spacing w:after="0" w:line="240" w:lineRule="auto"/>
              <w:jc w:val="lef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Modificaciones Al Presupuesto De Egresos Aprobado</w:t>
            </w:r>
          </w:p>
        </w:tc>
        <w:tc>
          <w:tcPr>
            <w:tcW w:w="1840" w:type="dxa"/>
            <w:tcBorders>
              <w:top w:val="nil"/>
              <w:left w:val="nil"/>
              <w:bottom w:val="single" w:sz="4" w:space="0" w:color="auto"/>
              <w:right w:val="single" w:sz="4" w:space="0" w:color="auto"/>
            </w:tcBorders>
            <w:shd w:val="clear" w:color="auto" w:fill="auto"/>
            <w:noWrap/>
            <w:vAlign w:val="center"/>
            <w:hideMark/>
          </w:tcPr>
          <w:p w14:paraId="31E99CC5" w14:textId="77777777" w:rsidR="00D94C4A" w:rsidRPr="00D94C4A" w:rsidRDefault="00D94C4A" w:rsidP="00D94C4A">
            <w:pPr>
              <w:spacing w:after="0" w:line="240" w:lineRule="auto"/>
              <w:jc w:val="righ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0</w:t>
            </w:r>
          </w:p>
        </w:tc>
        <w:tc>
          <w:tcPr>
            <w:tcW w:w="1840" w:type="dxa"/>
            <w:tcBorders>
              <w:top w:val="nil"/>
              <w:left w:val="nil"/>
              <w:bottom w:val="single" w:sz="4" w:space="0" w:color="auto"/>
              <w:right w:val="single" w:sz="4" w:space="0" w:color="auto"/>
            </w:tcBorders>
            <w:shd w:val="clear" w:color="auto" w:fill="auto"/>
            <w:noWrap/>
            <w:vAlign w:val="center"/>
            <w:hideMark/>
          </w:tcPr>
          <w:p w14:paraId="6A2FFE37" w14:textId="2009EBDA" w:rsidR="00D94C4A" w:rsidRPr="00D94C4A" w:rsidRDefault="00FB4D14" w:rsidP="00D94C4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11,918,690,131</w:t>
            </w:r>
            <w:r w:rsidR="00D94C4A" w:rsidRPr="00D94C4A">
              <w:rPr>
                <w:rFonts w:ascii="Arial" w:eastAsia="Times New Roman" w:hAnsi="Arial" w:cs="Arial"/>
                <w:color w:val="000000"/>
                <w:sz w:val="20"/>
                <w:szCs w:val="20"/>
                <w:lang w:eastAsia="es-MX"/>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14:paraId="4E387D37" w14:textId="012DD227" w:rsidR="00D94C4A" w:rsidRPr="00D94C4A" w:rsidRDefault="00FB4D14" w:rsidP="00D94C4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-11,918,690,131</w:t>
            </w:r>
            <w:r w:rsidR="00D94C4A" w:rsidRPr="00D94C4A">
              <w:rPr>
                <w:rFonts w:ascii="Arial" w:eastAsia="Times New Roman" w:hAnsi="Arial" w:cs="Arial"/>
                <w:color w:val="000000"/>
                <w:sz w:val="20"/>
                <w:szCs w:val="20"/>
                <w:lang w:eastAsia="es-MX"/>
              </w:rPr>
              <w:t xml:space="preserve"> </w:t>
            </w:r>
          </w:p>
        </w:tc>
      </w:tr>
      <w:tr w:rsidR="00D94C4A" w:rsidRPr="00D94C4A" w14:paraId="00BE6E83" w14:textId="77777777" w:rsidTr="00D94C4A">
        <w:trPr>
          <w:trHeight w:val="58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44790F1" w14:textId="77777777" w:rsidR="00D94C4A" w:rsidRPr="00D94C4A" w:rsidRDefault="00D94C4A" w:rsidP="00D94C4A">
            <w:pPr>
              <w:spacing w:after="0" w:line="240" w:lineRule="auto"/>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824</w:t>
            </w:r>
          </w:p>
        </w:tc>
        <w:tc>
          <w:tcPr>
            <w:tcW w:w="3520" w:type="dxa"/>
            <w:tcBorders>
              <w:top w:val="nil"/>
              <w:left w:val="nil"/>
              <w:bottom w:val="single" w:sz="4" w:space="0" w:color="auto"/>
              <w:right w:val="single" w:sz="4" w:space="0" w:color="auto"/>
            </w:tcBorders>
            <w:shd w:val="clear" w:color="auto" w:fill="auto"/>
            <w:vAlign w:val="center"/>
            <w:hideMark/>
          </w:tcPr>
          <w:p w14:paraId="789065A8" w14:textId="77777777" w:rsidR="00D94C4A" w:rsidRPr="00D94C4A" w:rsidRDefault="00D94C4A" w:rsidP="00D94C4A">
            <w:pPr>
              <w:spacing w:after="0" w:line="240" w:lineRule="auto"/>
              <w:jc w:val="lef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Presupuesto De Egresos Comprometido</w:t>
            </w:r>
          </w:p>
        </w:tc>
        <w:tc>
          <w:tcPr>
            <w:tcW w:w="1840" w:type="dxa"/>
            <w:tcBorders>
              <w:top w:val="nil"/>
              <w:left w:val="nil"/>
              <w:bottom w:val="single" w:sz="4" w:space="0" w:color="auto"/>
              <w:right w:val="single" w:sz="4" w:space="0" w:color="auto"/>
            </w:tcBorders>
            <w:shd w:val="clear" w:color="auto" w:fill="auto"/>
            <w:noWrap/>
            <w:vAlign w:val="center"/>
            <w:hideMark/>
          </w:tcPr>
          <w:p w14:paraId="5698E4D4" w14:textId="627F8870" w:rsidR="00D94C4A" w:rsidRPr="00D94C4A" w:rsidRDefault="00FB4D14" w:rsidP="00D94C4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406,211,466</w:t>
            </w:r>
            <w:r w:rsidR="00D94C4A" w:rsidRPr="00D94C4A">
              <w:rPr>
                <w:rFonts w:ascii="Arial" w:eastAsia="Times New Roman" w:hAnsi="Arial" w:cs="Arial"/>
                <w:color w:val="000000"/>
                <w:sz w:val="20"/>
                <w:szCs w:val="20"/>
                <w:lang w:eastAsia="es-MX"/>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14:paraId="428F6A2A" w14:textId="77777777" w:rsidR="00D94C4A" w:rsidRPr="00D94C4A" w:rsidRDefault="00D94C4A" w:rsidP="00D94C4A">
            <w:pPr>
              <w:spacing w:after="0" w:line="240" w:lineRule="auto"/>
              <w:jc w:val="righ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0</w:t>
            </w:r>
          </w:p>
        </w:tc>
        <w:tc>
          <w:tcPr>
            <w:tcW w:w="1840" w:type="dxa"/>
            <w:tcBorders>
              <w:top w:val="nil"/>
              <w:left w:val="nil"/>
              <w:bottom w:val="single" w:sz="4" w:space="0" w:color="auto"/>
              <w:right w:val="single" w:sz="4" w:space="0" w:color="auto"/>
            </w:tcBorders>
            <w:shd w:val="clear" w:color="auto" w:fill="auto"/>
            <w:noWrap/>
            <w:vAlign w:val="center"/>
            <w:hideMark/>
          </w:tcPr>
          <w:p w14:paraId="12E89C3C" w14:textId="20AD4AEF" w:rsidR="00D94C4A" w:rsidRPr="00D94C4A" w:rsidRDefault="00FB4D14" w:rsidP="00D94C4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406,211,466</w:t>
            </w:r>
            <w:r w:rsidR="00D94C4A" w:rsidRPr="00D94C4A">
              <w:rPr>
                <w:rFonts w:ascii="Arial" w:eastAsia="Times New Roman" w:hAnsi="Arial" w:cs="Arial"/>
                <w:color w:val="000000"/>
                <w:sz w:val="20"/>
                <w:szCs w:val="20"/>
                <w:lang w:eastAsia="es-MX"/>
              </w:rPr>
              <w:t xml:space="preserve"> </w:t>
            </w:r>
          </w:p>
        </w:tc>
      </w:tr>
      <w:tr w:rsidR="00D94C4A" w:rsidRPr="00D94C4A" w14:paraId="2D9AF3AE" w14:textId="77777777" w:rsidTr="00D94C4A">
        <w:trPr>
          <w:trHeight w:val="499"/>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4A23A5C" w14:textId="77777777" w:rsidR="00D94C4A" w:rsidRPr="00D94C4A" w:rsidRDefault="00D94C4A" w:rsidP="00D94C4A">
            <w:pPr>
              <w:spacing w:after="0" w:line="240" w:lineRule="auto"/>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825</w:t>
            </w:r>
          </w:p>
        </w:tc>
        <w:tc>
          <w:tcPr>
            <w:tcW w:w="3520" w:type="dxa"/>
            <w:tcBorders>
              <w:top w:val="nil"/>
              <w:left w:val="nil"/>
              <w:bottom w:val="single" w:sz="4" w:space="0" w:color="auto"/>
              <w:right w:val="single" w:sz="4" w:space="0" w:color="auto"/>
            </w:tcBorders>
            <w:shd w:val="clear" w:color="auto" w:fill="auto"/>
            <w:vAlign w:val="center"/>
            <w:hideMark/>
          </w:tcPr>
          <w:p w14:paraId="7EA599AF" w14:textId="77777777" w:rsidR="00D94C4A" w:rsidRPr="00D94C4A" w:rsidRDefault="00D94C4A" w:rsidP="00D94C4A">
            <w:pPr>
              <w:spacing w:after="0" w:line="240" w:lineRule="auto"/>
              <w:jc w:val="lef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Presupuesto De Egresos Devengado</w:t>
            </w:r>
          </w:p>
        </w:tc>
        <w:tc>
          <w:tcPr>
            <w:tcW w:w="1840" w:type="dxa"/>
            <w:tcBorders>
              <w:top w:val="nil"/>
              <w:left w:val="nil"/>
              <w:bottom w:val="single" w:sz="4" w:space="0" w:color="auto"/>
              <w:right w:val="single" w:sz="4" w:space="0" w:color="auto"/>
            </w:tcBorders>
            <w:shd w:val="clear" w:color="auto" w:fill="auto"/>
            <w:noWrap/>
            <w:vAlign w:val="center"/>
            <w:hideMark/>
          </w:tcPr>
          <w:p w14:paraId="3205D81B" w14:textId="77777777" w:rsidR="00D94C4A" w:rsidRPr="00D94C4A" w:rsidRDefault="00D94C4A" w:rsidP="00D94C4A">
            <w:pPr>
              <w:spacing w:after="0" w:line="240" w:lineRule="auto"/>
              <w:jc w:val="righ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0</w:t>
            </w:r>
          </w:p>
        </w:tc>
        <w:tc>
          <w:tcPr>
            <w:tcW w:w="1840" w:type="dxa"/>
            <w:tcBorders>
              <w:top w:val="nil"/>
              <w:left w:val="nil"/>
              <w:bottom w:val="single" w:sz="4" w:space="0" w:color="auto"/>
              <w:right w:val="single" w:sz="4" w:space="0" w:color="auto"/>
            </w:tcBorders>
            <w:shd w:val="clear" w:color="auto" w:fill="auto"/>
            <w:noWrap/>
            <w:vAlign w:val="center"/>
            <w:hideMark/>
          </w:tcPr>
          <w:p w14:paraId="254059E7" w14:textId="77777777" w:rsidR="00D94C4A" w:rsidRPr="00D94C4A" w:rsidRDefault="00D94C4A" w:rsidP="00D94C4A">
            <w:pPr>
              <w:spacing w:after="0" w:line="240" w:lineRule="auto"/>
              <w:jc w:val="righ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0</w:t>
            </w:r>
          </w:p>
        </w:tc>
        <w:tc>
          <w:tcPr>
            <w:tcW w:w="1840" w:type="dxa"/>
            <w:tcBorders>
              <w:top w:val="nil"/>
              <w:left w:val="nil"/>
              <w:bottom w:val="single" w:sz="4" w:space="0" w:color="auto"/>
              <w:right w:val="single" w:sz="4" w:space="0" w:color="auto"/>
            </w:tcBorders>
            <w:shd w:val="clear" w:color="auto" w:fill="auto"/>
            <w:noWrap/>
            <w:vAlign w:val="center"/>
            <w:hideMark/>
          </w:tcPr>
          <w:p w14:paraId="30C5C172" w14:textId="77777777" w:rsidR="00D94C4A" w:rsidRPr="00D94C4A" w:rsidRDefault="00D94C4A" w:rsidP="00D94C4A">
            <w:pPr>
              <w:spacing w:after="0" w:line="240" w:lineRule="auto"/>
              <w:jc w:val="righ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0</w:t>
            </w:r>
          </w:p>
        </w:tc>
      </w:tr>
      <w:tr w:rsidR="00D94C4A" w:rsidRPr="00D94C4A" w14:paraId="111AD7F0" w14:textId="77777777" w:rsidTr="00D94C4A">
        <w:trPr>
          <w:trHeight w:val="499"/>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C8315B5" w14:textId="77777777" w:rsidR="00D94C4A" w:rsidRPr="00D94C4A" w:rsidRDefault="00D94C4A" w:rsidP="00D94C4A">
            <w:pPr>
              <w:spacing w:after="0" w:line="240" w:lineRule="auto"/>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826</w:t>
            </w:r>
          </w:p>
        </w:tc>
        <w:tc>
          <w:tcPr>
            <w:tcW w:w="3520" w:type="dxa"/>
            <w:tcBorders>
              <w:top w:val="nil"/>
              <w:left w:val="nil"/>
              <w:bottom w:val="single" w:sz="4" w:space="0" w:color="auto"/>
              <w:right w:val="single" w:sz="4" w:space="0" w:color="auto"/>
            </w:tcBorders>
            <w:shd w:val="clear" w:color="auto" w:fill="auto"/>
            <w:vAlign w:val="center"/>
            <w:hideMark/>
          </w:tcPr>
          <w:p w14:paraId="3BE47CC6" w14:textId="77777777" w:rsidR="00D94C4A" w:rsidRPr="00D94C4A" w:rsidRDefault="00D94C4A" w:rsidP="00D94C4A">
            <w:pPr>
              <w:spacing w:after="0" w:line="240" w:lineRule="auto"/>
              <w:jc w:val="lef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Presupuesto De Egresos Ejercido</w:t>
            </w:r>
          </w:p>
        </w:tc>
        <w:tc>
          <w:tcPr>
            <w:tcW w:w="1840" w:type="dxa"/>
            <w:tcBorders>
              <w:top w:val="nil"/>
              <w:left w:val="nil"/>
              <w:bottom w:val="single" w:sz="4" w:space="0" w:color="auto"/>
              <w:right w:val="single" w:sz="4" w:space="0" w:color="auto"/>
            </w:tcBorders>
            <w:shd w:val="clear" w:color="auto" w:fill="auto"/>
            <w:noWrap/>
            <w:vAlign w:val="center"/>
            <w:hideMark/>
          </w:tcPr>
          <w:p w14:paraId="47937E5D" w14:textId="515AE4A0" w:rsidR="00D94C4A" w:rsidRPr="00D94C4A" w:rsidRDefault="00FB4D14" w:rsidP="00D94C4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868,811,590</w:t>
            </w:r>
            <w:r w:rsidR="00D94C4A" w:rsidRPr="00D94C4A">
              <w:rPr>
                <w:rFonts w:ascii="Arial" w:eastAsia="Times New Roman" w:hAnsi="Arial" w:cs="Arial"/>
                <w:color w:val="000000"/>
                <w:sz w:val="20"/>
                <w:szCs w:val="20"/>
                <w:lang w:eastAsia="es-MX"/>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14:paraId="006385BD" w14:textId="77777777" w:rsidR="00D94C4A" w:rsidRPr="00D94C4A" w:rsidRDefault="00D94C4A" w:rsidP="00D94C4A">
            <w:pPr>
              <w:spacing w:after="0" w:line="240" w:lineRule="auto"/>
              <w:jc w:val="righ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0</w:t>
            </w:r>
          </w:p>
        </w:tc>
        <w:tc>
          <w:tcPr>
            <w:tcW w:w="1840" w:type="dxa"/>
            <w:tcBorders>
              <w:top w:val="nil"/>
              <w:left w:val="nil"/>
              <w:bottom w:val="single" w:sz="4" w:space="0" w:color="auto"/>
              <w:right w:val="single" w:sz="4" w:space="0" w:color="auto"/>
            </w:tcBorders>
            <w:shd w:val="clear" w:color="auto" w:fill="auto"/>
            <w:noWrap/>
            <w:vAlign w:val="center"/>
            <w:hideMark/>
          </w:tcPr>
          <w:p w14:paraId="050E4FDF" w14:textId="02202EAD" w:rsidR="00D94C4A" w:rsidRPr="00D94C4A" w:rsidRDefault="00FB4D14" w:rsidP="00D94C4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868,811,590</w:t>
            </w:r>
            <w:r w:rsidR="00D94C4A" w:rsidRPr="00D94C4A">
              <w:rPr>
                <w:rFonts w:ascii="Arial" w:eastAsia="Times New Roman" w:hAnsi="Arial" w:cs="Arial"/>
                <w:color w:val="000000"/>
                <w:sz w:val="20"/>
                <w:szCs w:val="20"/>
                <w:lang w:eastAsia="es-MX"/>
              </w:rPr>
              <w:t xml:space="preserve"> </w:t>
            </w:r>
          </w:p>
        </w:tc>
      </w:tr>
      <w:tr w:rsidR="00D94C4A" w:rsidRPr="00D94C4A" w14:paraId="499F66AA" w14:textId="77777777" w:rsidTr="00D94C4A">
        <w:trPr>
          <w:trHeight w:val="499"/>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DDABD55" w14:textId="77777777" w:rsidR="00D94C4A" w:rsidRPr="00D94C4A" w:rsidRDefault="00D94C4A" w:rsidP="00D94C4A">
            <w:pPr>
              <w:spacing w:after="0" w:line="240" w:lineRule="auto"/>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827</w:t>
            </w:r>
          </w:p>
        </w:tc>
        <w:tc>
          <w:tcPr>
            <w:tcW w:w="3520" w:type="dxa"/>
            <w:tcBorders>
              <w:top w:val="nil"/>
              <w:left w:val="nil"/>
              <w:bottom w:val="single" w:sz="4" w:space="0" w:color="auto"/>
              <w:right w:val="single" w:sz="4" w:space="0" w:color="auto"/>
            </w:tcBorders>
            <w:shd w:val="clear" w:color="auto" w:fill="auto"/>
            <w:vAlign w:val="center"/>
            <w:hideMark/>
          </w:tcPr>
          <w:p w14:paraId="5B9E40CE" w14:textId="77777777" w:rsidR="00D94C4A" w:rsidRPr="00D94C4A" w:rsidRDefault="00D94C4A" w:rsidP="00D94C4A">
            <w:pPr>
              <w:spacing w:after="0" w:line="240" w:lineRule="auto"/>
              <w:jc w:val="lef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Presupuesto De Egresos Pagado</w:t>
            </w:r>
          </w:p>
        </w:tc>
        <w:tc>
          <w:tcPr>
            <w:tcW w:w="1840" w:type="dxa"/>
            <w:tcBorders>
              <w:top w:val="nil"/>
              <w:left w:val="nil"/>
              <w:bottom w:val="single" w:sz="4" w:space="0" w:color="auto"/>
              <w:right w:val="single" w:sz="4" w:space="0" w:color="auto"/>
            </w:tcBorders>
            <w:shd w:val="clear" w:color="auto" w:fill="auto"/>
            <w:noWrap/>
            <w:vAlign w:val="center"/>
            <w:hideMark/>
          </w:tcPr>
          <w:p w14:paraId="6128F59A" w14:textId="0916580E" w:rsidR="00D94C4A" w:rsidRPr="00D94C4A" w:rsidRDefault="00FB4D14" w:rsidP="00D94C4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61,742,622,403</w:t>
            </w:r>
            <w:r w:rsidR="00D94C4A" w:rsidRPr="00D94C4A">
              <w:rPr>
                <w:rFonts w:ascii="Arial" w:eastAsia="Times New Roman" w:hAnsi="Arial" w:cs="Arial"/>
                <w:color w:val="000000"/>
                <w:sz w:val="20"/>
                <w:szCs w:val="20"/>
                <w:lang w:eastAsia="es-MX"/>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14:paraId="7B62FBD2" w14:textId="77777777" w:rsidR="00D94C4A" w:rsidRPr="00D94C4A" w:rsidRDefault="00D94C4A" w:rsidP="00D94C4A">
            <w:pPr>
              <w:spacing w:after="0" w:line="240" w:lineRule="auto"/>
              <w:jc w:val="right"/>
              <w:rPr>
                <w:rFonts w:ascii="Arial" w:eastAsia="Times New Roman" w:hAnsi="Arial" w:cs="Arial"/>
                <w:color w:val="000000"/>
                <w:sz w:val="20"/>
                <w:szCs w:val="20"/>
                <w:lang w:eastAsia="es-MX"/>
              </w:rPr>
            </w:pPr>
            <w:r w:rsidRPr="00D94C4A">
              <w:rPr>
                <w:rFonts w:ascii="Arial" w:eastAsia="Times New Roman" w:hAnsi="Arial" w:cs="Arial"/>
                <w:color w:val="000000"/>
                <w:sz w:val="20"/>
                <w:szCs w:val="20"/>
                <w:lang w:eastAsia="es-MX"/>
              </w:rPr>
              <w:t>0</w:t>
            </w:r>
          </w:p>
        </w:tc>
        <w:tc>
          <w:tcPr>
            <w:tcW w:w="1840" w:type="dxa"/>
            <w:tcBorders>
              <w:top w:val="nil"/>
              <w:left w:val="nil"/>
              <w:bottom w:val="single" w:sz="4" w:space="0" w:color="auto"/>
              <w:right w:val="single" w:sz="4" w:space="0" w:color="auto"/>
            </w:tcBorders>
            <w:shd w:val="clear" w:color="auto" w:fill="auto"/>
            <w:noWrap/>
            <w:vAlign w:val="center"/>
            <w:hideMark/>
          </w:tcPr>
          <w:p w14:paraId="1F639031" w14:textId="73213F91" w:rsidR="00D94C4A" w:rsidRPr="00D94C4A" w:rsidRDefault="00FB4D14" w:rsidP="00D94C4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61,742,622,403</w:t>
            </w:r>
            <w:r w:rsidR="00D94C4A" w:rsidRPr="00D94C4A">
              <w:rPr>
                <w:rFonts w:ascii="Arial" w:eastAsia="Times New Roman" w:hAnsi="Arial" w:cs="Arial"/>
                <w:color w:val="000000"/>
                <w:sz w:val="20"/>
                <w:szCs w:val="20"/>
                <w:lang w:eastAsia="es-MX"/>
              </w:rPr>
              <w:t xml:space="preserve"> </w:t>
            </w:r>
          </w:p>
        </w:tc>
      </w:tr>
    </w:tbl>
    <w:p w14:paraId="2A7F0F79" w14:textId="77777777" w:rsidR="00436DC2" w:rsidRDefault="00436DC2" w:rsidP="000A4C31">
      <w:pPr>
        <w:spacing w:line="240" w:lineRule="auto"/>
        <w:ind w:left="114"/>
        <w:jc w:val="both"/>
        <w:rPr>
          <w:rFonts w:ascii="Arial" w:eastAsia="DIN Next LT Pro Condensed" w:hAnsi="Arial" w:cs="Arial"/>
          <w:w w:val="102"/>
          <w:position w:val="1"/>
        </w:rPr>
      </w:pPr>
    </w:p>
    <w:p w14:paraId="38F4FD98" w14:textId="22CEE7BE" w:rsidR="00224F62" w:rsidRDefault="00224F62" w:rsidP="000A4C31">
      <w:pPr>
        <w:spacing w:before="43" w:line="240" w:lineRule="auto"/>
        <w:ind w:right="76"/>
        <w:jc w:val="both"/>
        <w:rPr>
          <w:rFonts w:ascii="Arial" w:eastAsia="DIN Next LT Pro Condensed" w:hAnsi="Arial" w:cs="Arial"/>
          <w:w w:val="102"/>
        </w:rPr>
      </w:pPr>
      <w:r w:rsidRPr="00CA34F5">
        <w:rPr>
          <w:rFonts w:ascii="Arial" w:eastAsia="DIN Next LT Pro Condensed" w:hAnsi="Arial" w:cs="Arial"/>
        </w:rPr>
        <w:t>Ley</w:t>
      </w:r>
      <w:r w:rsidRPr="00CA34F5">
        <w:rPr>
          <w:rFonts w:ascii="Arial" w:eastAsia="DIN Next LT Pro Condensed" w:hAnsi="Arial" w:cs="Arial"/>
          <w:spacing w:val="31"/>
        </w:rPr>
        <w:t xml:space="preserve"> </w:t>
      </w:r>
      <w:r w:rsidRPr="00CA34F5">
        <w:rPr>
          <w:rFonts w:ascii="Arial" w:eastAsia="DIN Next LT Pro Condensed" w:hAnsi="Arial" w:cs="Arial"/>
        </w:rPr>
        <w:t>de</w:t>
      </w:r>
      <w:r w:rsidRPr="00CA34F5">
        <w:rPr>
          <w:rFonts w:ascii="Arial" w:eastAsia="DIN Next LT Pro Condensed" w:hAnsi="Arial" w:cs="Arial"/>
          <w:spacing w:val="30"/>
        </w:rPr>
        <w:t xml:space="preserve"> </w:t>
      </w:r>
      <w:r w:rsidRPr="00CA34F5">
        <w:rPr>
          <w:rFonts w:ascii="Arial" w:eastAsia="DIN Next LT Pro Condensed" w:hAnsi="Arial" w:cs="Arial"/>
        </w:rPr>
        <w:t>Ingresos</w:t>
      </w:r>
      <w:r w:rsidRPr="00CA34F5">
        <w:rPr>
          <w:rFonts w:ascii="Arial" w:eastAsia="DIN Next LT Pro Condensed" w:hAnsi="Arial" w:cs="Arial"/>
          <w:spacing w:val="38"/>
        </w:rPr>
        <w:t xml:space="preserve"> </w:t>
      </w:r>
      <w:r w:rsidRPr="00CA34F5">
        <w:rPr>
          <w:rFonts w:ascii="Arial" w:eastAsia="DIN Next LT Pro Condensed" w:hAnsi="Arial" w:cs="Arial"/>
        </w:rPr>
        <w:t>Estimada,</w:t>
      </w:r>
      <w:r w:rsidRPr="00CA34F5">
        <w:rPr>
          <w:rFonts w:ascii="Arial" w:eastAsia="DIN Next LT Pro Condensed" w:hAnsi="Arial" w:cs="Arial"/>
          <w:spacing w:val="40"/>
        </w:rPr>
        <w:t xml:space="preserve"> </w:t>
      </w:r>
      <w:r w:rsidRPr="00CA34F5">
        <w:rPr>
          <w:rFonts w:ascii="Arial" w:eastAsia="DIN Next LT Pro Condensed" w:hAnsi="Arial" w:cs="Arial"/>
        </w:rPr>
        <w:t>aprobada</w:t>
      </w:r>
      <w:r w:rsidRPr="00CA34F5">
        <w:rPr>
          <w:rFonts w:ascii="Arial" w:eastAsia="DIN Next LT Pro Condensed" w:hAnsi="Arial" w:cs="Arial"/>
          <w:spacing w:val="39"/>
        </w:rPr>
        <w:t xml:space="preserve"> </w:t>
      </w:r>
      <w:r w:rsidRPr="00CA34F5">
        <w:rPr>
          <w:rFonts w:ascii="Arial" w:eastAsia="DIN Next LT Pro Condensed" w:hAnsi="Arial" w:cs="Arial"/>
        </w:rPr>
        <w:t>por</w:t>
      </w:r>
      <w:r w:rsidRPr="00CA34F5">
        <w:rPr>
          <w:rFonts w:ascii="Arial" w:eastAsia="DIN Next LT Pro Condensed" w:hAnsi="Arial" w:cs="Arial"/>
          <w:spacing w:val="31"/>
        </w:rPr>
        <w:t xml:space="preserve"> </w:t>
      </w:r>
      <w:r w:rsidRPr="00CA34F5">
        <w:rPr>
          <w:rFonts w:ascii="Arial" w:eastAsia="DIN Next LT Pro Condensed" w:hAnsi="Arial" w:cs="Arial"/>
        </w:rPr>
        <w:t>el</w:t>
      </w:r>
      <w:r w:rsidRPr="00CA34F5">
        <w:rPr>
          <w:rFonts w:ascii="Arial" w:eastAsia="DIN Next LT Pro Condensed" w:hAnsi="Arial" w:cs="Arial"/>
          <w:spacing w:val="29"/>
        </w:rPr>
        <w:t xml:space="preserve"> </w:t>
      </w:r>
      <w:r w:rsidRPr="00CA34F5">
        <w:rPr>
          <w:rFonts w:ascii="Arial" w:eastAsia="DIN Next LT Pro Condensed" w:hAnsi="Arial" w:cs="Arial"/>
        </w:rPr>
        <w:t>Honorable Congreso</w:t>
      </w:r>
      <w:r w:rsidRPr="00CA34F5">
        <w:rPr>
          <w:rFonts w:ascii="Arial" w:eastAsia="DIN Next LT Pro Condensed" w:hAnsi="Arial" w:cs="Arial"/>
          <w:spacing w:val="39"/>
        </w:rPr>
        <w:t xml:space="preserve"> </w:t>
      </w:r>
      <w:r w:rsidRPr="00CA34F5">
        <w:rPr>
          <w:rFonts w:ascii="Arial" w:eastAsia="DIN Next LT Pro Condensed" w:hAnsi="Arial" w:cs="Arial"/>
        </w:rPr>
        <w:t>del</w:t>
      </w:r>
      <w:r w:rsidRPr="00CA34F5">
        <w:rPr>
          <w:rFonts w:ascii="Arial" w:eastAsia="DIN Next LT Pro Condensed" w:hAnsi="Arial" w:cs="Arial"/>
          <w:spacing w:val="31"/>
        </w:rPr>
        <w:t xml:space="preserve"> </w:t>
      </w:r>
      <w:r w:rsidRPr="00CA34F5">
        <w:rPr>
          <w:rFonts w:ascii="Arial" w:eastAsia="DIN Next LT Pro Condensed" w:hAnsi="Arial" w:cs="Arial"/>
        </w:rPr>
        <w:t>Estado,</w:t>
      </w:r>
      <w:r w:rsidR="00552409" w:rsidRPr="00CA34F5">
        <w:rPr>
          <w:rFonts w:ascii="Arial" w:eastAsia="DIN Next LT Pro Condensed" w:hAnsi="Arial" w:cs="Arial"/>
        </w:rPr>
        <w:t xml:space="preserve"> integrada</w:t>
      </w:r>
      <w:r w:rsidRPr="00CA34F5">
        <w:rPr>
          <w:rFonts w:ascii="Arial" w:eastAsia="DIN Next LT Pro Condensed" w:hAnsi="Arial" w:cs="Arial"/>
          <w:spacing w:val="30"/>
        </w:rPr>
        <w:t xml:space="preserve"> </w:t>
      </w:r>
      <w:r w:rsidRPr="00CA34F5">
        <w:rPr>
          <w:rFonts w:ascii="Arial" w:eastAsia="DIN Next LT Pro Condensed" w:hAnsi="Arial" w:cs="Arial"/>
        </w:rPr>
        <w:t>con</w:t>
      </w:r>
      <w:r w:rsidRPr="00CA34F5">
        <w:rPr>
          <w:rFonts w:ascii="Arial" w:eastAsia="DIN Next LT Pro Condensed" w:hAnsi="Arial" w:cs="Arial"/>
          <w:spacing w:val="32"/>
        </w:rPr>
        <w:t xml:space="preserve"> </w:t>
      </w:r>
      <w:r w:rsidRPr="00CA34F5">
        <w:rPr>
          <w:rFonts w:ascii="Arial" w:eastAsia="DIN Next LT Pro Condensed" w:hAnsi="Arial" w:cs="Arial"/>
        </w:rPr>
        <w:t>Fuentes</w:t>
      </w:r>
      <w:r w:rsidRPr="00CA34F5">
        <w:rPr>
          <w:rFonts w:ascii="Arial" w:eastAsia="DIN Next LT Pro Condensed" w:hAnsi="Arial" w:cs="Arial"/>
          <w:spacing w:val="37"/>
        </w:rPr>
        <w:t xml:space="preserve"> </w:t>
      </w:r>
      <w:r w:rsidRPr="00CA34F5">
        <w:rPr>
          <w:rFonts w:ascii="Arial" w:eastAsia="DIN Next LT Pro Condensed" w:hAnsi="Arial" w:cs="Arial"/>
        </w:rPr>
        <w:t>de</w:t>
      </w:r>
      <w:r w:rsidRPr="00CA34F5">
        <w:rPr>
          <w:rFonts w:ascii="Arial" w:eastAsia="DIN Next LT Pro Condensed" w:hAnsi="Arial" w:cs="Arial"/>
          <w:spacing w:val="30"/>
        </w:rPr>
        <w:t xml:space="preserve"> </w:t>
      </w:r>
      <w:r w:rsidRPr="00CA34F5">
        <w:rPr>
          <w:rFonts w:ascii="Arial" w:eastAsia="DIN Next LT Pro Condensed" w:hAnsi="Arial" w:cs="Arial"/>
          <w:w w:val="102"/>
        </w:rPr>
        <w:t xml:space="preserve">Ingresos </w:t>
      </w:r>
      <w:r w:rsidRPr="00CA34F5">
        <w:rPr>
          <w:rFonts w:ascii="Arial" w:eastAsia="DIN Next LT Pro Condensed" w:hAnsi="Arial" w:cs="Arial"/>
        </w:rPr>
        <w:t xml:space="preserve">Federales </w:t>
      </w:r>
      <w:r w:rsidRPr="00CA34F5">
        <w:rPr>
          <w:rFonts w:ascii="Arial" w:eastAsia="DIN Next LT Pro Condensed" w:hAnsi="Arial" w:cs="Arial"/>
          <w:spacing w:val="13"/>
        </w:rPr>
        <w:t xml:space="preserve"> </w:t>
      </w:r>
      <w:r w:rsidRPr="00CA34F5">
        <w:rPr>
          <w:rFonts w:ascii="Arial" w:eastAsia="DIN Next LT Pro Condensed" w:hAnsi="Arial" w:cs="Arial"/>
        </w:rPr>
        <w:t>y Estatales,</w:t>
      </w:r>
      <w:r w:rsidRPr="00CA34F5">
        <w:rPr>
          <w:rFonts w:ascii="Arial" w:eastAsia="DIN Next LT Pro Condensed" w:hAnsi="Arial" w:cs="Arial"/>
          <w:spacing w:val="11"/>
        </w:rPr>
        <w:t xml:space="preserve"> </w:t>
      </w:r>
      <w:r w:rsidRPr="00CA34F5">
        <w:rPr>
          <w:rFonts w:ascii="Arial" w:eastAsia="DIN Next LT Pro Condensed" w:hAnsi="Arial" w:cs="Arial"/>
        </w:rPr>
        <w:t>mismos</w:t>
      </w:r>
      <w:r w:rsidRPr="00CA34F5">
        <w:rPr>
          <w:rFonts w:ascii="Arial" w:eastAsia="DIN Next LT Pro Condensed" w:hAnsi="Arial" w:cs="Arial"/>
          <w:spacing w:val="9"/>
        </w:rPr>
        <w:t xml:space="preserve"> </w:t>
      </w:r>
      <w:r w:rsidRPr="00CA34F5">
        <w:rPr>
          <w:rFonts w:ascii="Arial" w:eastAsia="DIN Next LT Pro Condensed" w:hAnsi="Arial" w:cs="Arial"/>
        </w:rPr>
        <w:t>que</w:t>
      </w:r>
      <w:r w:rsidRPr="00CA34F5">
        <w:rPr>
          <w:rFonts w:ascii="Arial" w:eastAsia="DIN Next LT Pro Condensed" w:hAnsi="Arial" w:cs="Arial"/>
          <w:spacing w:val="3"/>
        </w:rPr>
        <w:t xml:space="preserve"> </w:t>
      </w:r>
      <w:r w:rsidRPr="00CA34F5">
        <w:rPr>
          <w:rFonts w:ascii="Arial" w:eastAsia="DIN Next LT Pro Condensed" w:hAnsi="Arial" w:cs="Arial"/>
        </w:rPr>
        <w:t>sirven</w:t>
      </w:r>
      <w:r w:rsidRPr="00CA34F5">
        <w:rPr>
          <w:rFonts w:ascii="Arial" w:eastAsia="DIN Next LT Pro Condensed" w:hAnsi="Arial" w:cs="Arial"/>
          <w:spacing w:val="7"/>
        </w:rPr>
        <w:t xml:space="preserve"> </w:t>
      </w:r>
      <w:r w:rsidRPr="00CA34F5">
        <w:rPr>
          <w:rFonts w:ascii="Arial" w:eastAsia="DIN Next LT Pro Condensed" w:hAnsi="Arial" w:cs="Arial"/>
        </w:rPr>
        <w:t>de</w:t>
      </w:r>
      <w:r w:rsidRPr="00CA34F5">
        <w:rPr>
          <w:rFonts w:ascii="Arial" w:eastAsia="DIN Next LT Pro Condensed" w:hAnsi="Arial" w:cs="Arial"/>
          <w:spacing w:val="2"/>
        </w:rPr>
        <w:t xml:space="preserve"> </w:t>
      </w:r>
      <w:r w:rsidRPr="00CA34F5">
        <w:rPr>
          <w:rFonts w:ascii="Arial" w:eastAsia="DIN Next LT Pro Condensed" w:hAnsi="Arial" w:cs="Arial"/>
        </w:rPr>
        <w:t>sustento</w:t>
      </w:r>
      <w:r w:rsidRPr="00CA34F5">
        <w:rPr>
          <w:rFonts w:ascii="Arial" w:eastAsia="DIN Next LT Pro Condensed" w:hAnsi="Arial" w:cs="Arial"/>
          <w:spacing w:val="10"/>
        </w:rPr>
        <w:t xml:space="preserve"> </w:t>
      </w:r>
      <w:r w:rsidRPr="00CA34F5">
        <w:rPr>
          <w:rFonts w:ascii="Arial" w:eastAsia="DIN Next LT Pro Condensed" w:hAnsi="Arial" w:cs="Arial"/>
        </w:rPr>
        <w:t>para</w:t>
      </w:r>
      <w:r w:rsidRPr="00CA34F5">
        <w:rPr>
          <w:rFonts w:ascii="Arial" w:eastAsia="DIN Next LT Pro Condensed" w:hAnsi="Arial" w:cs="Arial"/>
          <w:spacing w:val="4"/>
        </w:rPr>
        <w:t xml:space="preserve"> </w:t>
      </w:r>
      <w:r w:rsidRPr="00CA34F5">
        <w:rPr>
          <w:rFonts w:ascii="Arial" w:eastAsia="DIN Next LT Pro Condensed" w:hAnsi="Arial" w:cs="Arial"/>
        </w:rPr>
        <w:t>el</w:t>
      </w:r>
      <w:r w:rsidRPr="00CA34F5">
        <w:rPr>
          <w:rFonts w:ascii="Arial" w:eastAsia="DIN Next LT Pro Condensed" w:hAnsi="Arial" w:cs="Arial"/>
          <w:spacing w:val="1"/>
        </w:rPr>
        <w:t xml:space="preserve"> </w:t>
      </w:r>
      <w:r w:rsidRPr="00CA34F5">
        <w:rPr>
          <w:rFonts w:ascii="Arial" w:eastAsia="DIN Next LT Pro Condensed" w:hAnsi="Arial" w:cs="Arial"/>
        </w:rPr>
        <w:t>Presupuesto</w:t>
      </w:r>
      <w:r w:rsidRPr="00CA34F5">
        <w:rPr>
          <w:rFonts w:ascii="Arial" w:eastAsia="DIN Next LT Pro Condensed" w:hAnsi="Arial" w:cs="Arial"/>
          <w:spacing w:val="15"/>
        </w:rPr>
        <w:t xml:space="preserve"> </w:t>
      </w:r>
      <w:r w:rsidRPr="00CA34F5">
        <w:rPr>
          <w:rFonts w:ascii="Arial" w:eastAsia="DIN Next LT Pro Condensed" w:hAnsi="Arial" w:cs="Arial"/>
        </w:rPr>
        <w:t>General</w:t>
      </w:r>
      <w:r w:rsidRPr="00CA34F5">
        <w:rPr>
          <w:rFonts w:ascii="Arial" w:eastAsia="DIN Next LT Pro Condensed" w:hAnsi="Arial" w:cs="Arial"/>
          <w:spacing w:val="9"/>
        </w:rPr>
        <w:t xml:space="preserve"> </w:t>
      </w:r>
      <w:r w:rsidRPr="00CA34F5">
        <w:rPr>
          <w:rFonts w:ascii="Arial" w:eastAsia="DIN Next LT Pro Condensed" w:hAnsi="Arial" w:cs="Arial"/>
        </w:rPr>
        <w:t>de</w:t>
      </w:r>
      <w:r w:rsidRPr="00CA34F5">
        <w:rPr>
          <w:rFonts w:ascii="Arial" w:eastAsia="DIN Next LT Pro Condensed" w:hAnsi="Arial" w:cs="Arial"/>
          <w:spacing w:val="2"/>
        </w:rPr>
        <w:t xml:space="preserve"> </w:t>
      </w:r>
      <w:r w:rsidRPr="00CA34F5">
        <w:rPr>
          <w:rFonts w:ascii="Arial" w:eastAsia="DIN Next LT Pro Condensed" w:hAnsi="Arial" w:cs="Arial"/>
        </w:rPr>
        <w:t>Egresos</w:t>
      </w:r>
      <w:r w:rsidRPr="00CA34F5">
        <w:rPr>
          <w:rFonts w:ascii="Arial" w:eastAsia="DIN Next LT Pro Condensed" w:hAnsi="Arial" w:cs="Arial"/>
          <w:spacing w:val="9"/>
        </w:rPr>
        <w:t xml:space="preserve"> </w:t>
      </w:r>
      <w:r w:rsidRPr="00CA34F5">
        <w:rPr>
          <w:rFonts w:ascii="Arial" w:eastAsia="DIN Next LT Pro Condensed" w:hAnsi="Arial" w:cs="Arial"/>
        </w:rPr>
        <w:t>del</w:t>
      </w:r>
      <w:r w:rsidRPr="00CA34F5">
        <w:rPr>
          <w:rFonts w:ascii="Arial" w:eastAsia="DIN Next LT Pro Condensed" w:hAnsi="Arial" w:cs="Arial"/>
          <w:spacing w:val="3"/>
        </w:rPr>
        <w:t xml:space="preserve"> </w:t>
      </w:r>
      <w:r w:rsidRPr="00CA34F5">
        <w:rPr>
          <w:rFonts w:ascii="Arial" w:eastAsia="DIN Next LT Pro Condensed" w:hAnsi="Arial" w:cs="Arial"/>
        </w:rPr>
        <w:t>Ejercicio</w:t>
      </w:r>
      <w:r w:rsidRPr="00CA34F5">
        <w:rPr>
          <w:rFonts w:ascii="Arial" w:eastAsia="DIN Next LT Pro Condensed" w:hAnsi="Arial" w:cs="Arial"/>
          <w:spacing w:val="10"/>
        </w:rPr>
        <w:t xml:space="preserve"> </w:t>
      </w:r>
      <w:r w:rsidRPr="00CA34F5">
        <w:rPr>
          <w:rFonts w:ascii="Arial" w:eastAsia="DIN Next LT Pro Condensed" w:hAnsi="Arial" w:cs="Arial"/>
        </w:rPr>
        <w:t>Fiscal</w:t>
      </w:r>
      <w:r w:rsidRPr="00CA34F5">
        <w:rPr>
          <w:rFonts w:ascii="Arial" w:eastAsia="DIN Next LT Pro Condensed" w:hAnsi="Arial" w:cs="Arial"/>
          <w:spacing w:val="6"/>
        </w:rPr>
        <w:t xml:space="preserve"> </w:t>
      </w:r>
      <w:r w:rsidR="00912CBB" w:rsidRPr="00CA34F5">
        <w:rPr>
          <w:rFonts w:ascii="Arial" w:eastAsia="DIN Next LT Pro Condensed" w:hAnsi="Arial" w:cs="Arial"/>
        </w:rPr>
        <w:t>2021</w:t>
      </w:r>
      <w:r w:rsidRPr="00CA34F5">
        <w:rPr>
          <w:rFonts w:ascii="Arial" w:eastAsia="DIN Next LT Pro Condensed" w:hAnsi="Arial" w:cs="Arial"/>
        </w:rPr>
        <w:t>,</w:t>
      </w:r>
      <w:r w:rsidRPr="00CA34F5">
        <w:rPr>
          <w:rFonts w:ascii="Arial" w:eastAsia="DIN Next LT Pro Condensed" w:hAnsi="Arial" w:cs="Arial"/>
          <w:spacing w:val="6"/>
        </w:rPr>
        <w:t xml:space="preserve"> </w:t>
      </w:r>
      <w:r w:rsidRPr="00CA34F5">
        <w:rPr>
          <w:rFonts w:ascii="Arial" w:eastAsia="DIN Next LT Pro Condensed" w:hAnsi="Arial" w:cs="Arial"/>
        </w:rPr>
        <w:t>los</w:t>
      </w:r>
      <w:r w:rsidRPr="00CA34F5">
        <w:rPr>
          <w:rFonts w:ascii="Arial" w:eastAsia="DIN Next LT Pro Condensed" w:hAnsi="Arial" w:cs="Arial"/>
          <w:spacing w:val="2"/>
        </w:rPr>
        <w:t xml:space="preserve"> </w:t>
      </w:r>
      <w:r w:rsidRPr="00CA34F5">
        <w:rPr>
          <w:rFonts w:ascii="Arial" w:eastAsia="DIN Next LT Pro Condensed" w:hAnsi="Arial" w:cs="Arial"/>
        </w:rPr>
        <w:t>cuales</w:t>
      </w:r>
      <w:r w:rsidRPr="00CA34F5">
        <w:rPr>
          <w:rFonts w:ascii="Arial" w:eastAsia="DIN Next LT Pro Condensed" w:hAnsi="Arial" w:cs="Arial"/>
          <w:spacing w:val="7"/>
        </w:rPr>
        <w:t xml:space="preserve"> </w:t>
      </w:r>
      <w:r w:rsidRPr="00CA34F5">
        <w:rPr>
          <w:rFonts w:ascii="Arial" w:eastAsia="DIN Next LT Pro Condensed" w:hAnsi="Arial" w:cs="Arial"/>
        </w:rPr>
        <w:t>de</w:t>
      </w:r>
      <w:r w:rsidRPr="00CA34F5">
        <w:rPr>
          <w:rFonts w:ascii="Arial" w:eastAsia="DIN Next LT Pro Condensed" w:hAnsi="Arial" w:cs="Arial"/>
          <w:spacing w:val="2"/>
        </w:rPr>
        <w:t xml:space="preserve"> </w:t>
      </w:r>
      <w:r w:rsidRPr="00CA34F5">
        <w:rPr>
          <w:rFonts w:ascii="Arial" w:eastAsia="DIN Next LT Pro Condensed" w:hAnsi="Arial" w:cs="Arial"/>
        </w:rPr>
        <w:t>acuerdo</w:t>
      </w:r>
      <w:r w:rsidRPr="00CA34F5">
        <w:rPr>
          <w:rFonts w:ascii="Arial" w:eastAsia="DIN Next LT Pro Condensed" w:hAnsi="Arial" w:cs="Arial"/>
          <w:spacing w:val="9"/>
        </w:rPr>
        <w:t xml:space="preserve"> </w:t>
      </w:r>
      <w:r w:rsidRPr="00CA34F5">
        <w:rPr>
          <w:rFonts w:ascii="Arial" w:eastAsia="DIN Next LT Pro Condensed" w:hAnsi="Arial" w:cs="Arial"/>
        </w:rPr>
        <w:t>al</w:t>
      </w:r>
      <w:r w:rsidRPr="00CA34F5">
        <w:rPr>
          <w:rFonts w:ascii="Arial" w:eastAsia="DIN Next LT Pro Condensed" w:hAnsi="Arial" w:cs="Arial"/>
          <w:spacing w:val="1"/>
        </w:rPr>
        <w:t xml:space="preserve"> </w:t>
      </w:r>
      <w:r w:rsidRPr="00CA34F5">
        <w:rPr>
          <w:rFonts w:ascii="Arial" w:eastAsia="DIN Next LT Pro Condensed" w:hAnsi="Arial" w:cs="Arial"/>
        </w:rPr>
        <w:t>proceso</w:t>
      </w:r>
      <w:r w:rsidRPr="00CA34F5">
        <w:rPr>
          <w:rFonts w:ascii="Arial" w:eastAsia="DIN Next LT Pro Condensed" w:hAnsi="Arial" w:cs="Arial"/>
          <w:spacing w:val="9"/>
        </w:rPr>
        <w:t xml:space="preserve"> </w:t>
      </w:r>
      <w:r w:rsidRPr="00CA34F5">
        <w:rPr>
          <w:rFonts w:ascii="Arial" w:eastAsia="DIN Next LT Pro Condensed" w:hAnsi="Arial" w:cs="Arial"/>
        </w:rPr>
        <w:t>del</w:t>
      </w:r>
      <w:r w:rsidRPr="00CA34F5">
        <w:rPr>
          <w:rFonts w:ascii="Arial" w:eastAsia="DIN Next LT Pro Condensed" w:hAnsi="Arial" w:cs="Arial"/>
          <w:spacing w:val="3"/>
        </w:rPr>
        <w:t xml:space="preserve"> </w:t>
      </w:r>
      <w:r w:rsidRPr="00CA34F5">
        <w:rPr>
          <w:rFonts w:ascii="Arial" w:eastAsia="DIN Next LT Pro Condensed" w:hAnsi="Arial" w:cs="Arial"/>
        </w:rPr>
        <w:t>Ejercicio</w:t>
      </w:r>
      <w:r w:rsidRPr="00CA34F5">
        <w:rPr>
          <w:rFonts w:ascii="Arial" w:eastAsia="DIN Next LT Pro Condensed" w:hAnsi="Arial" w:cs="Arial"/>
          <w:spacing w:val="10"/>
        </w:rPr>
        <w:t xml:space="preserve"> </w:t>
      </w:r>
      <w:r w:rsidRPr="00CA34F5">
        <w:rPr>
          <w:rFonts w:ascii="Arial" w:eastAsia="DIN Next LT Pro Condensed" w:hAnsi="Arial" w:cs="Arial"/>
        </w:rPr>
        <w:t>del</w:t>
      </w:r>
      <w:r w:rsidRPr="00CA34F5">
        <w:rPr>
          <w:rFonts w:ascii="Arial" w:eastAsia="DIN Next LT Pro Condensed" w:hAnsi="Arial" w:cs="Arial"/>
          <w:spacing w:val="3"/>
        </w:rPr>
        <w:t xml:space="preserve"> </w:t>
      </w:r>
      <w:r w:rsidRPr="00CA34F5">
        <w:rPr>
          <w:rFonts w:ascii="Arial" w:eastAsia="DIN Next LT Pro Condensed" w:hAnsi="Arial" w:cs="Arial"/>
        </w:rPr>
        <w:t>Gasto</w:t>
      </w:r>
      <w:r w:rsidRPr="00CA34F5">
        <w:rPr>
          <w:rFonts w:ascii="Arial" w:eastAsia="DIN Next LT Pro Condensed" w:hAnsi="Arial" w:cs="Arial"/>
          <w:spacing w:val="6"/>
        </w:rPr>
        <w:t xml:space="preserve"> </w:t>
      </w:r>
      <w:r w:rsidRPr="00CA34F5">
        <w:rPr>
          <w:rFonts w:ascii="Arial" w:eastAsia="DIN Next LT Pro Condensed" w:hAnsi="Arial" w:cs="Arial"/>
        </w:rPr>
        <w:t>Público</w:t>
      </w:r>
      <w:r w:rsidRPr="00CA34F5">
        <w:rPr>
          <w:rFonts w:ascii="Arial" w:eastAsia="DIN Next LT Pro Condensed" w:hAnsi="Arial" w:cs="Arial"/>
          <w:spacing w:val="8"/>
        </w:rPr>
        <w:t xml:space="preserve"> </w:t>
      </w:r>
      <w:r w:rsidRPr="00CA34F5">
        <w:rPr>
          <w:rFonts w:ascii="Arial" w:eastAsia="DIN Next LT Pro Condensed" w:hAnsi="Arial" w:cs="Arial"/>
          <w:w w:val="102"/>
        </w:rPr>
        <w:t xml:space="preserve">fueron </w:t>
      </w:r>
      <w:r w:rsidRPr="00CA34F5">
        <w:rPr>
          <w:rFonts w:ascii="Arial" w:eastAsia="DIN Next LT Pro Condensed" w:hAnsi="Arial" w:cs="Arial"/>
        </w:rPr>
        <w:t>Comprometidos</w:t>
      </w:r>
      <w:r w:rsidRPr="00CA34F5">
        <w:rPr>
          <w:rFonts w:ascii="Arial" w:eastAsia="DIN Next LT Pro Condensed" w:hAnsi="Arial" w:cs="Arial"/>
          <w:spacing w:val="22"/>
        </w:rPr>
        <w:t xml:space="preserve"> </w:t>
      </w:r>
      <w:r w:rsidRPr="00CA34F5">
        <w:rPr>
          <w:rFonts w:ascii="Arial" w:eastAsia="DIN Next LT Pro Condensed" w:hAnsi="Arial" w:cs="Arial"/>
        </w:rPr>
        <w:t xml:space="preserve">y </w:t>
      </w:r>
      <w:r w:rsidRPr="00CA34F5">
        <w:rPr>
          <w:rFonts w:ascii="Arial" w:eastAsia="DIN Next LT Pro Condensed" w:hAnsi="Arial" w:cs="Arial"/>
          <w:spacing w:val="3"/>
        </w:rPr>
        <w:t xml:space="preserve"> </w:t>
      </w:r>
      <w:r w:rsidRPr="00CA34F5">
        <w:rPr>
          <w:rFonts w:ascii="Arial" w:eastAsia="DIN Next LT Pro Condensed" w:hAnsi="Arial" w:cs="Arial"/>
        </w:rPr>
        <w:t>Devengados</w:t>
      </w:r>
      <w:r w:rsidRPr="00CA34F5">
        <w:rPr>
          <w:rFonts w:ascii="Arial" w:eastAsia="DIN Next LT Pro Condensed" w:hAnsi="Arial" w:cs="Arial"/>
          <w:spacing w:val="17"/>
        </w:rPr>
        <w:t xml:space="preserve"> </w:t>
      </w:r>
      <w:r w:rsidRPr="00CA34F5">
        <w:rPr>
          <w:rFonts w:ascii="Arial" w:eastAsia="DIN Next LT Pro Condensed" w:hAnsi="Arial" w:cs="Arial"/>
        </w:rPr>
        <w:t>sobre</w:t>
      </w:r>
      <w:r w:rsidRPr="00CA34F5">
        <w:rPr>
          <w:rFonts w:ascii="Arial" w:eastAsia="DIN Next LT Pro Condensed" w:hAnsi="Arial" w:cs="Arial"/>
          <w:spacing w:val="8"/>
        </w:rPr>
        <w:t xml:space="preserve"> </w:t>
      </w:r>
      <w:r w:rsidRPr="00CA34F5">
        <w:rPr>
          <w:rFonts w:ascii="Arial" w:eastAsia="DIN Next LT Pro Condensed" w:hAnsi="Arial" w:cs="Arial"/>
        </w:rPr>
        <w:t xml:space="preserve">la </w:t>
      </w:r>
      <w:r w:rsidRPr="00CA34F5">
        <w:rPr>
          <w:rFonts w:ascii="Arial" w:eastAsia="DIN Next LT Pro Condensed" w:hAnsi="Arial" w:cs="Arial"/>
          <w:spacing w:val="4"/>
        </w:rPr>
        <w:t xml:space="preserve"> </w:t>
      </w:r>
      <w:r w:rsidRPr="00CA34F5">
        <w:rPr>
          <w:rFonts w:ascii="Arial" w:eastAsia="DIN Next LT Pro Condensed" w:hAnsi="Arial" w:cs="Arial"/>
        </w:rPr>
        <w:t>base</w:t>
      </w:r>
      <w:r w:rsidRPr="00CA34F5">
        <w:rPr>
          <w:rFonts w:ascii="Arial" w:eastAsia="DIN Next LT Pro Condensed" w:hAnsi="Arial" w:cs="Arial"/>
          <w:spacing w:val="7"/>
        </w:rPr>
        <w:t xml:space="preserve"> </w:t>
      </w:r>
      <w:r w:rsidRPr="00CA34F5">
        <w:rPr>
          <w:rFonts w:ascii="Arial" w:eastAsia="DIN Next LT Pro Condensed" w:hAnsi="Arial" w:cs="Arial"/>
        </w:rPr>
        <w:t xml:space="preserve">del </w:t>
      </w:r>
      <w:r w:rsidRPr="00CA34F5">
        <w:rPr>
          <w:rFonts w:ascii="Arial" w:eastAsia="DIN Next LT Pro Condensed" w:hAnsi="Arial" w:cs="Arial"/>
          <w:spacing w:val="6"/>
        </w:rPr>
        <w:t xml:space="preserve"> </w:t>
      </w:r>
      <w:r w:rsidRPr="00CA34F5">
        <w:rPr>
          <w:rFonts w:ascii="Arial" w:eastAsia="DIN Next LT Pro Condensed" w:hAnsi="Arial" w:cs="Arial"/>
        </w:rPr>
        <w:t>Presupuesto</w:t>
      </w:r>
      <w:r w:rsidRPr="00CA34F5">
        <w:rPr>
          <w:rFonts w:ascii="Arial" w:eastAsia="DIN Next LT Pro Condensed" w:hAnsi="Arial" w:cs="Arial"/>
          <w:spacing w:val="17"/>
        </w:rPr>
        <w:t xml:space="preserve"> </w:t>
      </w:r>
      <w:r w:rsidRPr="00CA34F5">
        <w:rPr>
          <w:rFonts w:ascii="Arial" w:eastAsia="DIN Next LT Pro Condensed" w:hAnsi="Arial" w:cs="Arial"/>
          <w:w w:val="102"/>
        </w:rPr>
        <w:t>Aprobado.</w:t>
      </w:r>
    </w:p>
    <w:p w14:paraId="6A5200FE" w14:textId="77777777" w:rsidR="009A40DA" w:rsidRPr="00CA34F5" w:rsidRDefault="009A40DA" w:rsidP="000A4C31">
      <w:pPr>
        <w:spacing w:before="43" w:line="240" w:lineRule="auto"/>
        <w:ind w:right="76"/>
        <w:jc w:val="both"/>
        <w:rPr>
          <w:rFonts w:ascii="Arial" w:eastAsia="DIN Next LT Pro Condensed" w:hAnsi="Arial" w:cs="Arial"/>
          <w:w w:val="102"/>
        </w:rPr>
      </w:pPr>
    </w:p>
    <w:p w14:paraId="41835A95" w14:textId="77777777" w:rsidR="00570C86" w:rsidRPr="00CA34F5" w:rsidRDefault="00570C86" w:rsidP="000A4C31">
      <w:pPr>
        <w:spacing w:after="0" w:line="240" w:lineRule="auto"/>
        <w:ind w:right="5217" w:firstLine="2835"/>
        <w:rPr>
          <w:rFonts w:ascii="Arial" w:eastAsia="Times New Roman" w:hAnsi="Arial" w:cs="Arial"/>
          <w:b/>
          <w:lang w:eastAsia="es-ES"/>
        </w:rPr>
      </w:pPr>
    </w:p>
    <w:p w14:paraId="4013AEFB" w14:textId="77777777" w:rsidR="003E6191" w:rsidRPr="00CA34F5" w:rsidRDefault="003E6191" w:rsidP="000A4C31">
      <w:pPr>
        <w:spacing w:after="0" w:line="240" w:lineRule="auto"/>
        <w:ind w:right="5217" w:firstLine="2835"/>
        <w:rPr>
          <w:rFonts w:ascii="Arial" w:eastAsia="Times New Roman" w:hAnsi="Arial" w:cs="Arial"/>
          <w:b/>
          <w:lang w:eastAsia="es-ES"/>
        </w:rPr>
      </w:pPr>
    </w:p>
    <w:p w14:paraId="07D20263" w14:textId="0BFEC1A4" w:rsidR="002806BF" w:rsidRPr="00CA34F5" w:rsidRDefault="002A191B" w:rsidP="00397ABA">
      <w:pPr>
        <w:spacing w:after="0" w:line="240" w:lineRule="auto"/>
        <w:ind w:right="4329" w:firstLine="1843"/>
        <w:jc w:val="right"/>
        <w:rPr>
          <w:rFonts w:ascii="Arial" w:eastAsia="Times New Roman" w:hAnsi="Arial" w:cs="Arial"/>
          <w:b/>
          <w:lang w:eastAsia="es-ES"/>
        </w:rPr>
      </w:pPr>
      <w:r w:rsidRPr="00CA34F5">
        <w:rPr>
          <w:rFonts w:ascii="Arial" w:eastAsia="Times New Roman" w:hAnsi="Arial" w:cs="Arial"/>
          <w:b/>
          <w:lang w:eastAsia="es-ES"/>
        </w:rPr>
        <w:lastRenderedPageBreak/>
        <w:t xml:space="preserve">c) NOTAS DE GESTION </w:t>
      </w:r>
      <w:r w:rsidR="00D1261E" w:rsidRPr="00CA34F5">
        <w:rPr>
          <w:rFonts w:ascii="Arial" w:eastAsia="Times New Roman" w:hAnsi="Arial" w:cs="Arial"/>
          <w:b/>
          <w:lang w:eastAsia="es-ES"/>
        </w:rPr>
        <w:t>A</w:t>
      </w:r>
      <w:r w:rsidRPr="00CA34F5">
        <w:rPr>
          <w:rFonts w:ascii="Arial" w:eastAsia="Times New Roman" w:hAnsi="Arial" w:cs="Arial"/>
          <w:b/>
          <w:lang w:eastAsia="es-ES"/>
        </w:rPr>
        <w:t>DMINISTRATIVA</w:t>
      </w:r>
    </w:p>
    <w:p w14:paraId="0C3ECCC4" w14:textId="77777777" w:rsidR="002A191B" w:rsidRPr="00CA34F5" w:rsidRDefault="002A191B" w:rsidP="000A4C31">
      <w:pPr>
        <w:spacing w:after="0" w:line="240" w:lineRule="auto"/>
        <w:ind w:left="5611" w:right="5217"/>
        <w:rPr>
          <w:rFonts w:ascii="Arial" w:eastAsia="Times New Roman" w:hAnsi="Arial" w:cs="Arial"/>
          <w:b/>
          <w:lang w:eastAsia="es-ES"/>
        </w:rPr>
      </w:pPr>
    </w:p>
    <w:p w14:paraId="1EB23F66" w14:textId="77777777" w:rsidR="002806BF" w:rsidRPr="00CA34F5" w:rsidRDefault="002806BF" w:rsidP="000A4C31">
      <w:pPr>
        <w:spacing w:after="0" w:line="240" w:lineRule="auto"/>
        <w:ind w:left="5611" w:right="5611"/>
        <w:rPr>
          <w:rFonts w:ascii="Arial" w:eastAsia="DIN Next LT Pro" w:hAnsi="Arial" w:cs="Arial"/>
        </w:rPr>
      </w:pPr>
    </w:p>
    <w:p w14:paraId="0E831BE7" w14:textId="77777777" w:rsidR="00A16453" w:rsidRPr="00CA34F5" w:rsidRDefault="00A16453" w:rsidP="000A4C31">
      <w:pPr>
        <w:numPr>
          <w:ilvl w:val="0"/>
          <w:numId w:val="12"/>
        </w:numPr>
        <w:spacing w:after="0" w:line="240" w:lineRule="auto"/>
        <w:ind w:left="142" w:hanging="142"/>
        <w:contextualSpacing/>
        <w:jc w:val="both"/>
        <w:rPr>
          <w:rFonts w:ascii="Arial" w:hAnsi="Arial" w:cs="Arial"/>
          <w:b/>
        </w:rPr>
      </w:pPr>
      <w:r w:rsidRPr="00CA34F5">
        <w:rPr>
          <w:rFonts w:ascii="Arial" w:hAnsi="Arial" w:cs="Arial"/>
          <w:b/>
        </w:rPr>
        <w:t>Introducción</w:t>
      </w:r>
    </w:p>
    <w:p w14:paraId="56D2190D" w14:textId="77777777" w:rsidR="00A16453" w:rsidRPr="00CA34F5" w:rsidRDefault="00A16453" w:rsidP="000A4C31">
      <w:pPr>
        <w:spacing w:after="0" w:line="240" w:lineRule="auto"/>
        <w:jc w:val="both"/>
        <w:rPr>
          <w:rFonts w:ascii="Arial" w:hAnsi="Arial" w:cs="Arial"/>
          <w:b/>
        </w:rPr>
      </w:pPr>
    </w:p>
    <w:p w14:paraId="5517E109" w14:textId="0FA34B2D" w:rsidR="00A16453" w:rsidRPr="00CA34F5" w:rsidRDefault="00A16453" w:rsidP="000A4C31">
      <w:pPr>
        <w:spacing w:after="0" w:line="240" w:lineRule="auto"/>
        <w:jc w:val="both"/>
        <w:rPr>
          <w:rFonts w:ascii="Arial" w:hAnsi="Arial" w:cs="Arial"/>
        </w:rPr>
      </w:pPr>
      <w:r w:rsidRPr="00CA34F5">
        <w:rPr>
          <w:rFonts w:ascii="Arial" w:hAnsi="Arial" w:cs="Arial"/>
        </w:rPr>
        <w:t>Los estados financieros del Poder Ejecutivo del Estado de Tabasco son generados por la Secretaría de Finanzas, presentan los resultados de la gestión económica, financiera y presupuestaria durante un periodo determinado, así como su situación patrimonial, todo con la estructura, oportunidad y periodicidad que establecen la Ley General de Contabilidad Gubernamental, el Consejo Nacional de Armonización Contable y la legislación estatal aplicable. Además, son útiles para un amplio número de  usuarios al contar con una fuente de información confiable  y oportuna para tomar decisiones respecto a asignación, administración y control de recursos. Asimismo, facilita</w:t>
      </w:r>
      <w:r w:rsidR="00B853E1" w:rsidRPr="00CA34F5">
        <w:rPr>
          <w:rFonts w:ascii="Arial" w:hAnsi="Arial" w:cs="Arial"/>
        </w:rPr>
        <w:t>n</w:t>
      </w:r>
      <w:r w:rsidRPr="00CA34F5">
        <w:rPr>
          <w:rFonts w:ascii="Arial" w:hAnsi="Arial" w:cs="Arial"/>
        </w:rPr>
        <w:t xml:space="preserve"> las tareas  para evaluar desempeño, rendición de cuentas, transparencia fiscal y fiscalización externa de las cuentas públicas.</w:t>
      </w:r>
    </w:p>
    <w:p w14:paraId="5598DF48" w14:textId="77777777" w:rsidR="003E163E" w:rsidRPr="00CA34F5" w:rsidRDefault="003E163E" w:rsidP="000A4C31">
      <w:pPr>
        <w:spacing w:after="0" w:line="240" w:lineRule="auto"/>
        <w:jc w:val="both"/>
        <w:rPr>
          <w:rFonts w:ascii="Arial" w:hAnsi="Arial" w:cs="Arial"/>
        </w:rPr>
      </w:pPr>
    </w:p>
    <w:p w14:paraId="6B73CA77" w14:textId="2D4E37DE" w:rsidR="003E163E" w:rsidRPr="00CA34F5" w:rsidRDefault="003E163E" w:rsidP="000A4C31">
      <w:pPr>
        <w:numPr>
          <w:ilvl w:val="0"/>
          <w:numId w:val="12"/>
        </w:numPr>
        <w:spacing w:after="0" w:line="240" w:lineRule="auto"/>
        <w:ind w:left="142" w:hanging="142"/>
        <w:contextualSpacing/>
        <w:jc w:val="both"/>
        <w:rPr>
          <w:rFonts w:ascii="Arial" w:eastAsia="Times New Roman" w:hAnsi="Arial" w:cs="Arial"/>
          <w:b/>
          <w:lang w:eastAsia="es-MX"/>
        </w:rPr>
      </w:pPr>
      <w:r w:rsidRPr="00CA34F5">
        <w:rPr>
          <w:rFonts w:ascii="Arial" w:hAnsi="Arial" w:cs="Arial"/>
          <w:b/>
        </w:rPr>
        <w:t xml:space="preserve"> Panorama Económico y Financiero </w:t>
      </w:r>
    </w:p>
    <w:p w14:paraId="10FB2C0D" w14:textId="77777777" w:rsidR="003B3A05" w:rsidRPr="00CA34F5" w:rsidRDefault="003B3A05" w:rsidP="000A4C31">
      <w:pPr>
        <w:spacing w:after="0" w:line="240" w:lineRule="auto"/>
        <w:ind w:left="142"/>
        <w:contextualSpacing/>
        <w:jc w:val="both"/>
        <w:rPr>
          <w:rFonts w:ascii="Arial" w:hAnsi="Arial" w:cs="Arial"/>
          <w:b/>
        </w:rPr>
      </w:pPr>
    </w:p>
    <w:p w14:paraId="3A76F1FE" w14:textId="130A4CD4" w:rsidR="00A16453" w:rsidRPr="00CA34F5" w:rsidRDefault="00A16453" w:rsidP="000A4C31">
      <w:pPr>
        <w:spacing w:after="0" w:line="240" w:lineRule="auto"/>
        <w:jc w:val="both"/>
        <w:rPr>
          <w:rFonts w:ascii="Arial" w:eastAsia="Times New Roman" w:hAnsi="Arial" w:cs="Arial"/>
          <w:lang w:eastAsia="es-MX"/>
        </w:rPr>
      </w:pPr>
      <w:r w:rsidRPr="00CA34F5">
        <w:rPr>
          <w:rFonts w:ascii="Arial" w:hAnsi="Arial" w:cs="Arial"/>
        </w:rPr>
        <w:t xml:space="preserve">El Gobierno Federal en materia de los bienes y servicios que ofrece, ha seguido la política de no subir </w:t>
      </w:r>
      <w:r w:rsidR="000C6CD9" w:rsidRPr="00CA34F5">
        <w:rPr>
          <w:rFonts w:ascii="Arial" w:hAnsi="Arial" w:cs="Arial"/>
        </w:rPr>
        <w:t>sus precios en términos reales. En cuanto a tasas impositivas</w:t>
      </w:r>
      <w:r w:rsidRPr="00CA34F5">
        <w:rPr>
          <w:rFonts w:ascii="Arial" w:hAnsi="Arial" w:cs="Arial"/>
        </w:rPr>
        <w:t xml:space="preserve"> no han tenido alzas. </w:t>
      </w:r>
      <w:r w:rsidRPr="00CA34F5">
        <w:rPr>
          <w:rFonts w:ascii="Arial" w:eastAsia="Times New Roman" w:hAnsi="Arial" w:cs="Arial"/>
          <w:lang w:eastAsia="es-MX"/>
        </w:rPr>
        <w:t>En materia de finanzas públicas, la política fue mantener finanzas sanas sin incrementar la deuda. El financiamiento del gasto público se logró mediante la política de austeridad, c</w:t>
      </w:r>
      <w:r w:rsidR="00687E29" w:rsidRPr="00CA34F5">
        <w:rPr>
          <w:rFonts w:ascii="Arial" w:eastAsia="Times New Roman" w:hAnsi="Arial" w:cs="Arial"/>
          <w:lang w:eastAsia="es-MX"/>
        </w:rPr>
        <w:t>ombatiendo la corrupción y basado</w:t>
      </w:r>
      <w:r w:rsidRPr="00CA34F5">
        <w:rPr>
          <w:rFonts w:ascii="Arial" w:eastAsia="Times New Roman" w:hAnsi="Arial" w:cs="Arial"/>
          <w:lang w:eastAsia="es-MX"/>
        </w:rPr>
        <w:t xml:space="preserve"> en un superávit primario.</w:t>
      </w:r>
    </w:p>
    <w:p w14:paraId="17AB925D" w14:textId="77777777" w:rsidR="00F155F8" w:rsidRPr="00CA34F5" w:rsidRDefault="00F155F8" w:rsidP="000A4C31">
      <w:pPr>
        <w:spacing w:after="0" w:line="240" w:lineRule="auto"/>
        <w:jc w:val="both"/>
        <w:rPr>
          <w:rFonts w:ascii="Arial" w:eastAsia="Times New Roman" w:hAnsi="Arial" w:cs="Arial"/>
          <w:lang w:eastAsia="es-MX"/>
        </w:rPr>
      </w:pPr>
    </w:p>
    <w:p w14:paraId="1331B2FA" w14:textId="77777777" w:rsidR="00A16453" w:rsidRPr="00CA34F5" w:rsidRDefault="00A16453" w:rsidP="000A4C31">
      <w:pPr>
        <w:spacing w:after="0" w:line="240" w:lineRule="auto"/>
        <w:jc w:val="both"/>
        <w:rPr>
          <w:rFonts w:ascii="Arial" w:eastAsia="Times New Roman" w:hAnsi="Arial" w:cs="Arial"/>
          <w:lang w:eastAsia="es-MX"/>
        </w:rPr>
      </w:pPr>
      <w:r w:rsidRPr="00CA34F5">
        <w:rPr>
          <w:rFonts w:ascii="Arial" w:eastAsia="Times New Roman" w:hAnsi="Arial" w:cs="Arial"/>
          <w:lang w:eastAsia="es-MX"/>
        </w:rPr>
        <w:t>Asimismo, en materia de orientación del gasto público, se fortaleció la inversión en el sector energético, apoyos al campo con precios de garantía y el programa Sembrando Vida. También se impulsó la política social con apoyo a los jóvenes, adultos mayores y grupos vulnerables.</w:t>
      </w:r>
    </w:p>
    <w:p w14:paraId="3DF88498" w14:textId="77777777" w:rsidR="00F155F8" w:rsidRPr="00CA34F5" w:rsidRDefault="00F155F8" w:rsidP="000A4C31">
      <w:pPr>
        <w:spacing w:after="0" w:line="240" w:lineRule="auto"/>
        <w:jc w:val="both"/>
        <w:rPr>
          <w:rFonts w:ascii="Arial" w:eastAsia="Times New Roman" w:hAnsi="Arial" w:cs="Arial"/>
          <w:lang w:eastAsia="es-MX"/>
        </w:rPr>
      </w:pPr>
    </w:p>
    <w:p w14:paraId="76F71B35" w14:textId="77777777" w:rsidR="00912CBB" w:rsidRPr="00CA34F5" w:rsidRDefault="003B3A05" w:rsidP="000A4C31">
      <w:pPr>
        <w:spacing w:after="0" w:line="240" w:lineRule="auto"/>
        <w:jc w:val="both"/>
        <w:rPr>
          <w:rFonts w:ascii="Arial" w:eastAsia="Times New Roman" w:hAnsi="Arial" w:cs="Arial"/>
          <w:b/>
          <w:bCs/>
          <w:lang w:eastAsia="es-MX"/>
        </w:rPr>
      </w:pPr>
      <w:r w:rsidRPr="00CA34F5">
        <w:rPr>
          <w:rFonts w:ascii="Arial" w:eastAsia="Times New Roman" w:hAnsi="Arial" w:cs="Arial"/>
          <w:b/>
          <w:bCs/>
          <w:lang w:eastAsia="es-MX"/>
        </w:rPr>
        <w:t>Tabasco</w:t>
      </w:r>
    </w:p>
    <w:p w14:paraId="4BD83E65" w14:textId="77777777" w:rsidR="00687E29" w:rsidRPr="00CA34F5" w:rsidRDefault="00687E29" w:rsidP="000A4C31">
      <w:pPr>
        <w:spacing w:after="0" w:line="240" w:lineRule="auto"/>
        <w:jc w:val="both"/>
        <w:rPr>
          <w:rFonts w:ascii="Arial" w:eastAsia="Times New Roman" w:hAnsi="Arial" w:cs="Arial"/>
          <w:b/>
          <w:bCs/>
          <w:lang w:eastAsia="es-MX"/>
        </w:rPr>
      </w:pPr>
    </w:p>
    <w:p w14:paraId="3D6F1375" w14:textId="57FC668F" w:rsidR="00570C86" w:rsidRPr="00CA34F5" w:rsidRDefault="00A16453" w:rsidP="000A4C31">
      <w:pPr>
        <w:spacing w:after="0" w:line="240" w:lineRule="auto"/>
        <w:jc w:val="both"/>
        <w:rPr>
          <w:rFonts w:ascii="Arial" w:eastAsia="Times New Roman" w:hAnsi="Arial" w:cs="Arial"/>
          <w:lang w:eastAsia="es-MX"/>
        </w:rPr>
      </w:pPr>
      <w:r w:rsidRPr="00CA34F5">
        <w:rPr>
          <w:rFonts w:ascii="Arial" w:eastAsia="Times New Roman" w:hAnsi="Arial" w:cs="Arial"/>
          <w:lang w:eastAsia="es-MX"/>
        </w:rPr>
        <w:t>En las circunstancias de pandemia</w:t>
      </w:r>
      <w:r w:rsidR="00687E29" w:rsidRPr="00CA34F5">
        <w:rPr>
          <w:rFonts w:ascii="Arial" w:eastAsia="Times New Roman" w:hAnsi="Arial" w:cs="Arial"/>
          <w:lang w:eastAsia="es-MX"/>
        </w:rPr>
        <w:t>,</w:t>
      </w:r>
      <w:r w:rsidRPr="00CA34F5">
        <w:rPr>
          <w:rFonts w:ascii="Arial" w:eastAsia="Times New Roman" w:hAnsi="Arial" w:cs="Arial"/>
          <w:lang w:eastAsia="es-MX"/>
        </w:rPr>
        <w:t xml:space="preserve"> </w:t>
      </w:r>
      <w:r w:rsidR="00687E29" w:rsidRPr="00CA34F5">
        <w:rPr>
          <w:rFonts w:ascii="Arial" w:eastAsia="Times New Roman" w:hAnsi="Arial" w:cs="Arial"/>
          <w:lang w:eastAsia="es-MX"/>
        </w:rPr>
        <w:t>el Gobierno del Estado</w:t>
      </w:r>
      <w:r w:rsidR="000C6CD9" w:rsidRPr="00CA34F5">
        <w:rPr>
          <w:rFonts w:ascii="Arial" w:eastAsia="Times New Roman" w:hAnsi="Arial" w:cs="Arial"/>
          <w:lang w:eastAsia="es-MX"/>
        </w:rPr>
        <w:t xml:space="preserve"> ha continuado</w:t>
      </w:r>
      <w:r w:rsidR="00687E29" w:rsidRPr="00CA34F5">
        <w:rPr>
          <w:rFonts w:ascii="Arial" w:eastAsia="Times New Roman" w:hAnsi="Arial" w:cs="Arial"/>
          <w:lang w:eastAsia="es-MX"/>
        </w:rPr>
        <w:t xml:space="preserve"> la política económica en concordancia con el Gobierno Federal, mediante el humanístico y razonable equilibrio de las medidas sanitarias y las económicas, constantemente en revisión y actualizadas oportunamente. Se avanzó en austeridad en el gasto público, sin aumento de las tasas impositivas. El gasto público, priorizó el sector educativo, al regularizar los pagos al magisterio e infraestructura educativa, y al sector salud con suministro de medicamentos y equipamiento. La seguridad pública ha sido otra prioridad de gasto, incluyendo a la Fiscalía General del Estado.</w:t>
      </w:r>
    </w:p>
    <w:p w14:paraId="138C4641" w14:textId="694A5016" w:rsidR="00A16453" w:rsidRPr="00CA34F5" w:rsidRDefault="00A16453" w:rsidP="000A4C31">
      <w:pPr>
        <w:spacing w:after="0" w:line="240" w:lineRule="auto"/>
        <w:jc w:val="both"/>
        <w:rPr>
          <w:rFonts w:ascii="Arial" w:eastAsia="Times New Roman" w:hAnsi="Arial" w:cs="Arial"/>
          <w:lang w:eastAsia="es-MX"/>
        </w:rPr>
      </w:pPr>
      <w:r w:rsidRPr="00CA34F5">
        <w:rPr>
          <w:rFonts w:ascii="Arial" w:eastAsia="Times New Roman" w:hAnsi="Arial" w:cs="Arial"/>
          <w:lang w:eastAsia="es-MX"/>
        </w:rPr>
        <w:t>Se incrementó la inversión pública, a través del sector ordenamiento territorial y obras públicas, en infraestructura hidráulica y carreteras.</w:t>
      </w:r>
    </w:p>
    <w:p w14:paraId="076FC64A" w14:textId="77777777" w:rsidR="00480476" w:rsidRPr="00CA34F5" w:rsidRDefault="00480476" w:rsidP="000A4C31">
      <w:pPr>
        <w:spacing w:after="0" w:line="240" w:lineRule="auto"/>
        <w:jc w:val="both"/>
        <w:rPr>
          <w:rFonts w:ascii="Arial" w:hAnsi="Arial" w:cs="Arial"/>
          <w:b/>
          <w:bCs/>
        </w:rPr>
      </w:pPr>
    </w:p>
    <w:p w14:paraId="3B18AF82" w14:textId="77777777" w:rsidR="003B3A05" w:rsidRPr="00CA34F5" w:rsidRDefault="003B3A05" w:rsidP="000A4C31">
      <w:pPr>
        <w:spacing w:after="0" w:line="240" w:lineRule="auto"/>
        <w:jc w:val="both"/>
        <w:rPr>
          <w:rFonts w:ascii="Arial" w:hAnsi="Arial" w:cs="Arial"/>
          <w:b/>
          <w:bCs/>
        </w:rPr>
      </w:pPr>
      <w:r w:rsidRPr="00CA34F5">
        <w:rPr>
          <w:rFonts w:ascii="Arial" w:hAnsi="Arial" w:cs="Arial"/>
          <w:b/>
          <w:bCs/>
        </w:rPr>
        <w:t>Planeación del desarrollo</w:t>
      </w:r>
    </w:p>
    <w:p w14:paraId="3D11D5DC" w14:textId="77777777" w:rsidR="003B3A05" w:rsidRPr="00CA34F5" w:rsidRDefault="003B3A05" w:rsidP="000A4C31">
      <w:pPr>
        <w:spacing w:after="0" w:line="240" w:lineRule="auto"/>
        <w:jc w:val="both"/>
        <w:rPr>
          <w:rFonts w:ascii="Arial" w:hAnsi="Arial" w:cs="Arial"/>
          <w:b/>
        </w:rPr>
      </w:pPr>
    </w:p>
    <w:p w14:paraId="63280F84" w14:textId="77777777" w:rsidR="00A16453" w:rsidRPr="00CA34F5" w:rsidRDefault="00A16453" w:rsidP="000A4C31">
      <w:pPr>
        <w:spacing w:after="0" w:line="240" w:lineRule="auto"/>
        <w:jc w:val="both"/>
        <w:rPr>
          <w:rFonts w:ascii="Arial" w:eastAsia="Times New Roman" w:hAnsi="Arial" w:cs="Arial"/>
          <w:lang w:eastAsia="es-MX"/>
        </w:rPr>
      </w:pPr>
      <w:r w:rsidRPr="00CA34F5">
        <w:rPr>
          <w:rFonts w:ascii="Arial" w:eastAsia="Times New Roman" w:hAnsi="Arial" w:cs="Arial"/>
          <w:lang w:eastAsia="es-MX"/>
        </w:rPr>
        <w:t xml:space="preserve">La  estructura del Plan Estatal de Desarrollo 2019-2024 está compuesta por 6 ejes, 3 rectores y 3 transversales que comprenden 150 objetivos, 235 estrategias y 927 líneas de acción, resultado de la interacción con los sectores productivos, sociales, académicos, la población en general, los gobiernos municipales y las dependencias de la Administración Pública Estatal que coordinan los diferentes sectores, integrando los elementos complementarios para lograr la visión de los ejes rectores en los que </w:t>
      </w:r>
      <w:r w:rsidRPr="00CA34F5">
        <w:rPr>
          <w:rFonts w:ascii="Arial" w:eastAsia="Times New Roman" w:hAnsi="Arial" w:cs="Arial"/>
          <w:lang w:eastAsia="es-MX"/>
        </w:rPr>
        <w:lastRenderedPageBreak/>
        <w:t>se ubican, así como para encontrar las concurrencias para la generación de valor público en la solución de problemas que por su complejidad y dimensiones consideran los ejes transversales</w:t>
      </w:r>
    </w:p>
    <w:p w14:paraId="12E82069" w14:textId="77777777" w:rsidR="00A16453" w:rsidRPr="00CA34F5" w:rsidRDefault="00A16453" w:rsidP="000A4C31">
      <w:pPr>
        <w:spacing w:after="0" w:line="240" w:lineRule="auto"/>
        <w:jc w:val="both"/>
        <w:rPr>
          <w:rFonts w:ascii="Arial" w:eastAsia="Times New Roman" w:hAnsi="Arial" w:cs="Arial"/>
          <w:lang w:eastAsia="es-MX"/>
        </w:rPr>
      </w:pPr>
    </w:p>
    <w:p w14:paraId="6E300D5F" w14:textId="77777777" w:rsidR="00A16453" w:rsidRPr="00CA34F5" w:rsidRDefault="00A16453" w:rsidP="000A4C31">
      <w:pPr>
        <w:spacing w:after="0" w:line="240" w:lineRule="auto"/>
        <w:jc w:val="both"/>
        <w:rPr>
          <w:rFonts w:ascii="Arial" w:eastAsia="Times New Roman" w:hAnsi="Arial" w:cs="Arial"/>
          <w:lang w:eastAsia="es-MX"/>
        </w:rPr>
      </w:pPr>
      <w:r w:rsidRPr="00CA34F5">
        <w:rPr>
          <w:rFonts w:ascii="Arial" w:eastAsia="Times New Roman" w:hAnsi="Arial" w:cs="Arial"/>
          <w:lang w:eastAsia="es-MX"/>
        </w:rPr>
        <w:t>Para el desarrollo de sus funciones, el Gobierno del Estado de Tabasco obtiene los recursos económicos previstos en la Ley de Ingresos del Estado, que por su origen son los siguientes:</w:t>
      </w:r>
    </w:p>
    <w:p w14:paraId="447DDC50" w14:textId="77777777" w:rsidR="00A16453" w:rsidRPr="00CA34F5" w:rsidRDefault="00A16453" w:rsidP="000A4C31">
      <w:pPr>
        <w:spacing w:after="0" w:line="240" w:lineRule="auto"/>
        <w:jc w:val="both"/>
        <w:rPr>
          <w:rFonts w:ascii="Arial" w:eastAsia="Times New Roman" w:hAnsi="Arial" w:cs="Arial"/>
          <w:lang w:eastAsia="es-MX"/>
        </w:rPr>
      </w:pPr>
    </w:p>
    <w:p w14:paraId="2B79CAFF" w14:textId="77777777" w:rsidR="00A16453" w:rsidRPr="00CA34F5" w:rsidRDefault="00A16453" w:rsidP="000A4C31">
      <w:pPr>
        <w:pStyle w:val="Prrafodelista"/>
        <w:numPr>
          <w:ilvl w:val="0"/>
          <w:numId w:val="15"/>
        </w:numPr>
        <w:spacing w:after="0" w:line="240" w:lineRule="auto"/>
        <w:jc w:val="both"/>
        <w:rPr>
          <w:rFonts w:ascii="Arial" w:eastAsia="Times New Roman" w:hAnsi="Arial" w:cs="Arial"/>
          <w:lang w:eastAsia="es-MX"/>
        </w:rPr>
      </w:pPr>
      <w:r w:rsidRPr="00CA34F5">
        <w:rPr>
          <w:rFonts w:ascii="Arial" w:eastAsia="Times New Roman" w:hAnsi="Arial" w:cs="Arial"/>
          <w:b/>
          <w:bCs/>
          <w:lang w:eastAsia="es-MX"/>
        </w:rPr>
        <w:t>Ingresos propios</w:t>
      </w:r>
      <w:r w:rsidRPr="00CA34F5">
        <w:rPr>
          <w:rFonts w:ascii="Arial" w:eastAsia="Times New Roman" w:hAnsi="Arial" w:cs="Arial"/>
          <w:bCs/>
          <w:lang w:eastAsia="es-MX"/>
        </w:rPr>
        <w:t xml:space="preserve">: </w:t>
      </w:r>
      <w:r w:rsidRPr="00CA34F5">
        <w:rPr>
          <w:rFonts w:ascii="Arial" w:eastAsia="Times New Roman" w:hAnsi="Arial" w:cs="Arial"/>
          <w:lang w:eastAsia="es-MX"/>
        </w:rPr>
        <w:t>principalmente impuestos, derechos, productos y aprovechamientos,</w:t>
      </w:r>
    </w:p>
    <w:p w14:paraId="7A6D5B9F" w14:textId="77777777" w:rsidR="00A16453" w:rsidRPr="00CA34F5" w:rsidRDefault="00A16453" w:rsidP="000A4C31">
      <w:pPr>
        <w:pStyle w:val="Prrafodelista"/>
        <w:numPr>
          <w:ilvl w:val="0"/>
          <w:numId w:val="15"/>
        </w:numPr>
        <w:spacing w:after="0" w:line="240" w:lineRule="auto"/>
        <w:jc w:val="both"/>
        <w:rPr>
          <w:rFonts w:ascii="Arial" w:eastAsia="Times New Roman" w:hAnsi="Arial" w:cs="Arial"/>
          <w:lang w:eastAsia="es-MX"/>
        </w:rPr>
      </w:pPr>
      <w:r w:rsidRPr="00CA34F5">
        <w:rPr>
          <w:rFonts w:ascii="Arial" w:eastAsia="Times New Roman" w:hAnsi="Arial" w:cs="Arial"/>
          <w:b/>
          <w:bCs/>
          <w:lang w:eastAsia="es-MX"/>
        </w:rPr>
        <w:t>Participaciones federales</w:t>
      </w:r>
      <w:r w:rsidRPr="00CA34F5">
        <w:rPr>
          <w:rFonts w:ascii="Arial" w:eastAsia="Times New Roman" w:hAnsi="Arial" w:cs="Arial"/>
          <w:b/>
          <w:lang w:eastAsia="es-MX"/>
        </w:rPr>
        <w:t>:</w:t>
      </w:r>
      <w:r w:rsidRPr="00CA34F5">
        <w:rPr>
          <w:rFonts w:ascii="Arial" w:eastAsia="Times New Roman" w:hAnsi="Arial" w:cs="Arial"/>
          <w:lang w:eastAsia="es-MX"/>
        </w:rPr>
        <w:t xml:space="preserve"> de conformidad  con la Ley de Coordinación Fiscal, el Gobierno del Estado de Tabasco tiene derecho a participar de la recaudación  federal, incluyendo sus incrementos, de acuerdo a criterios formales de distribución establecidos en las mismas disposiciones,</w:t>
      </w:r>
    </w:p>
    <w:p w14:paraId="5060CB70" w14:textId="77777777" w:rsidR="00A16453" w:rsidRPr="00CA34F5" w:rsidRDefault="00A16453" w:rsidP="000A4C31">
      <w:pPr>
        <w:pStyle w:val="Prrafodelista"/>
        <w:numPr>
          <w:ilvl w:val="0"/>
          <w:numId w:val="15"/>
        </w:numPr>
        <w:spacing w:after="0" w:line="240" w:lineRule="auto"/>
        <w:jc w:val="both"/>
        <w:rPr>
          <w:rFonts w:ascii="Arial" w:eastAsia="Times New Roman" w:hAnsi="Arial" w:cs="Arial"/>
          <w:lang w:eastAsia="es-MX"/>
        </w:rPr>
      </w:pPr>
      <w:r w:rsidRPr="00CA34F5">
        <w:rPr>
          <w:rFonts w:ascii="Arial" w:eastAsia="Times New Roman" w:hAnsi="Arial" w:cs="Arial"/>
          <w:b/>
          <w:bCs/>
          <w:lang w:eastAsia="es-MX"/>
        </w:rPr>
        <w:t>Aportaciones federales:</w:t>
      </w:r>
      <w:r w:rsidRPr="00CA34F5">
        <w:rPr>
          <w:rFonts w:ascii="Arial" w:eastAsia="Times New Roman" w:hAnsi="Arial" w:cs="Arial"/>
          <w:bCs/>
          <w:lang w:eastAsia="es-MX"/>
        </w:rPr>
        <w:t xml:space="preserve"> </w:t>
      </w:r>
      <w:r w:rsidRPr="00CA34F5">
        <w:rPr>
          <w:rFonts w:ascii="Arial" w:eastAsia="Times New Roman" w:hAnsi="Arial" w:cs="Arial"/>
          <w:lang w:eastAsia="es-MX"/>
        </w:rPr>
        <w:t>son principalmente ingresos federales coordinados, participaciones federales e ingresos provenientes del Ramo 33,</w:t>
      </w:r>
    </w:p>
    <w:p w14:paraId="2C695816" w14:textId="77777777" w:rsidR="00A16453" w:rsidRPr="00CA34F5" w:rsidRDefault="00A16453" w:rsidP="000A4C31">
      <w:pPr>
        <w:pStyle w:val="Prrafodelista"/>
        <w:numPr>
          <w:ilvl w:val="0"/>
          <w:numId w:val="15"/>
        </w:numPr>
        <w:spacing w:after="0" w:line="240" w:lineRule="auto"/>
        <w:jc w:val="both"/>
        <w:rPr>
          <w:rFonts w:ascii="Arial" w:eastAsia="Times New Roman" w:hAnsi="Arial" w:cs="Arial"/>
          <w:lang w:eastAsia="es-MX"/>
        </w:rPr>
      </w:pPr>
      <w:r w:rsidRPr="00CA34F5">
        <w:rPr>
          <w:rFonts w:ascii="Arial" w:eastAsia="Times New Roman" w:hAnsi="Arial" w:cs="Arial"/>
          <w:b/>
          <w:bCs/>
          <w:lang w:eastAsia="es-MX"/>
        </w:rPr>
        <w:t>Ingresos extraordinarios</w:t>
      </w:r>
      <w:r w:rsidRPr="00CA34F5">
        <w:rPr>
          <w:rFonts w:ascii="Arial" w:eastAsia="Times New Roman" w:hAnsi="Arial" w:cs="Arial"/>
          <w:b/>
          <w:lang w:eastAsia="es-MX"/>
        </w:rPr>
        <w:t>:</w:t>
      </w:r>
      <w:r w:rsidRPr="00CA34F5">
        <w:rPr>
          <w:rFonts w:ascii="Arial" w:eastAsia="Times New Roman" w:hAnsi="Arial" w:cs="Arial"/>
          <w:lang w:eastAsia="es-MX"/>
        </w:rPr>
        <w:t xml:space="preserve"> son los que percibe el Estado, no comprendidos en los conceptos anteriores. Según la Ley de Coordinación Fiscal, son participaciones federales las provenientes de: Fondo  General  de Participaciones; Fondo  de Fomento  Municipal; Fondo General de Participaciones por Coordinación  en Derechos; Impuesto  Especial  sobre  Producción  y Servicios;  Impuesto sobre Automóviles Nuevos, y la Reserva de Contingencias.</w:t>
      </w:r>
    </w:p>
    <w:p w14:paraId="60651A02" w14:textId="77777777" w:rsidR="00A16453" w:rsidRPr="00CA34F5" w:rsidRDefault="00A16453" w:rsidP="000A4C31">
      <w:pPr>
        <w:spacing w:after="0" w:line="240" w:lineRule="auto"/>
        <w:ind w:left="720"/>
        <w:jc w:val="both"/>
        <w:rPr>
          <w:rFonts w:ascii="Arial" w:eastAsia="Times New Roman" w:hAnsi="Arial" w:cs="Arial"/>
          <w:lang w:eastAsia="es-MX"/>
        </w:rPr>
      </w:pPr>
    </w:p>
    <w:p w14:paraId="21A3ACA6" w14:textId="77777777" w:rsidR="00A16453" w:rsidRPr="00CA34F5" w:rsidRDefault="00A16453" w:rsidP="000A4C31">
      <w:pPr>
        <w:spacing w:after="0" w:line="240" w:lineRule="auto"/>
        <w:jc w:val="both"/>
        <w:rPr>
          <w:rFonts w:ascii="Arial" w:eastAsia="Times New Roman" w:hAnsi="Arial" w:cs="Arial"/>
          <w:lang w:eastAsia="es-MX"/>
        </w:rPr>
      </w:pPr>
      <w:r w:rsidRPr="00CA34F5">
        <w:rPr>
          <w:rFonts w:ascii="Arial" w:eastAsia="Times New Roman" w:hAnsi="Arial" w:cs="Arial"/>
          <w:lang w:eastAsia="es-MX"/>
        </w:rPr>
        <w:t>El Estado se adhirió a la Ley de Coordinación Fiscal mediante convenio de colaboración administrativa en materia fiscal federal, lo que representa proporciones constantes de recaudación, a cambio de no mantener en vigor impuestos estatales o municipales que vayan en contra de las limitaciones señaladas en las Leyes que establece la Federación. El Estado recibe las participaciones federales para los Municipios y se las entrega dentro de los cinco días siguientes.</w:t>
      </w:r>
    </w:p>
    <w:p w14:paraId="18E15FC7" w14:textId="77777777" w:rsidR="003B3A05" w:rsidRPr="00CA34F5" w:rsidRDefault="003B3A05" w:rsidP="000A4C31">
      <w:pPr>
        <w:spacing w:after="0" w:line="240" w:lineRule="auto"/>
        <w:ind w:left="142"/>
        <w:contextualSpacing/>
        <w:jc w:val="both"/>
        <w:rPr>
          <w:rFonts w:ascii="Arial" w:eastAsia="Times New Roman" w:hAnsi="Arial" w:cs="Arial"/>
          <w:b/>
          <w:lang w:eastAsia="es-MX"/>
        </w:rPr>
      </w:pPr>
    </w:p>
    <w:p w14:paraId="04446FFA" w14:textId="77777777" w:rsidR="003E163E" w:rsidRPr="00CA34F5" w:rsidRDefault="003E163E" w:rsidP="000A4C31">
      <w:pPr>
        <w:numPr>
          <w:ilvl w:val="0"/>
          <w:numId w:val="12"/>
        </w:numPr>
        <w:spacing w:after="0" w:line="240" w:lineRule="auto"/>
        <w:ind w:left="142" w:hanging="142"/>
        <w:contextualSpacing/>
        <w:jc w:val="both"/>
        <w:rPr>
          <w:rFonts w:ascii="Arial" w:hAnsi="Arial" w:cs="Arial"/>
          <w:b/>
        </w:rPr>
      </w:pPr>
      <w:r w:rsidRPr="00CA34F5">
        <w:rPr>
          <w:rFonts w:ascii="Arial" w:hAnsi="Arial" w:cs="Arial"/>
          <w:b/>
        </w:rPr>
        <w:t>Autorización e Historia</w:t>
      </w:r>
    </w:p>
    <w:p w14:paraId="50886C5D" w14:textId="77777777" w:rsidR="003E163E" w:rsidRPr="00CA34F5" w:rsidRDefault="003E163E" w:rsidP="000A4C31">
      <w:pPr>
        <w:spacing w:after="0" w:line="240" w:lineRule="auto"/>
        <w:jc w:val="both"/>
        <w:rPr>
          <w:rFonts w:ascii="Arial" w:hAnsi="Arial" w:cs="Arial"/>
          <w:b/>
          <w:bCs/>
        </w:rPr>
      </w:pPr>
    </w:p>
    <w:p w14:paraId="79F164C6" w14:textId="77777777" w:rsidR="00A16453" w:rsidRPr="00CA34F5" w:rsidRDefault="00A16453" w:rsidP="000A4C31">
      <w:pPr>
        <w:spacing w:after="0" w:line="240" w:lineRule="auto"/>
        <w:jc w:val="both"/>
        <w:rPr>
          <w:rFonts w:ascii="Arial" w:eastAsia="Times New Roman" w:hAnsi="Arial" w:cs="Arial"/>
          <w:lang w:eastAsia="es-MX"/>
        </w:rPr>
      </w:pPr>
      <w:r w:rsidRPr="00CA34F5">
        <w:rPr>
          <w:rFonts w:ascii="Arial" w:eastAsia="Times New Roman" w:hAnsi="Arial" w:cs="Arial"/>
          <w:lang w:eastAsia="es-MX"/>
        </w:rPr>
        <w:t>Las obras y acciones de gobierno dependen de la obtención de los recursos necesarios para su financiamiento. Ante la determinación de no crear nuevos impuestos, ni incrementar los establecidos, los esfuerzos se orientan al incremento de la captación directa, a través de la ampliación de la base de contribuyentes y el cumplimiento de sus obligaciones fiscales, así como la administración de los recursos ordinarios o especiales transferidos por la Federación.</w:t>
      </w:r>
    </w:p>
    <w:p w14:paraId="60508BDA" w14:textId="77777777" w:rsidR="00A16453" w:rsidRPr="00CA34F5" w:rsidRDefault="00A16453" w:rsidP="000A4C31">
      <w:pPr>
        <w:spacing w:after="0" w:line="240" w:lineRule="auto"/>
        <w:jc w:val="both"/>
        <w:rPr>
          <w:rFonts w:ascii="Arial" w:eastAsia="Times New Roman" w:hAnsi="Arial" w:cs="Arial"/>
          <w:lang w:eastAsia="es-MX"/>
        </w:rPr>
      </w:pPr>
      <w:r w:rsidRPr="00CA34F5">
        <w:rPr>
          <w:rFonts w:ascii="Arial" w:eastAsia="Times New Roman" w:hAnsi="Arial" w:cs="Arial"/>
          <w:lang w:eastAsia="es-MX"/>
        </w:rPr>
        <w:t>Durante la presente administración, los esfuerzos en materia de ingresos propios se centran en campañas de regularización, el aprovechamiento y modernización de unidades móviles para la realización de trámites y cobros, la firma de convenios con instituciones para incrementar los puntos de captación y el fortalecimiento de los sistemas electrónicos de recaudación vía internet.</w:t>
      </w:r>
    </w:p>
    <w:p w14:paraId="0D1220BC" w14:textId="77777777" w:rsidR="00A16453" w:rsidRPr="00CA34F5" w:rsidRDefault="00A16453" w:rsidP="000A4C31">
      <w:pPr>
        <w:spacing w:after="0" w:line="240" w:lineRule="auto"/>
        <w:jc w:val="both"/>
        <w:rPr>
          <w:rFonts w:ascii="Arial" w:eastAsia="Times New Roman" w:hAnsi="Arial" w:cs="Arial"/>
          <w:lang w:eastAsia="es-MX"/>
        </w:rPr>
      </w:pPr>
    </w:p>
    <w:p w14:paraId="0B7E8D6A" w14:textId="77777777" w:rsidR="00A16453" w:rsidRPr="00CA34F5" w:rsidRDefault="00A16453" w:rsidP="000A4C31">
      <w:pPr>
        <w:spacing w:after="0" w:line="240" w:lineRule="auto"/>
        <w:jc w:val="both"/>
        <w:rPr>
          <w:rFonts w:ascii="Arial" w:eastAsia="Times New Roman" w:hAnsi="Arial" w:cs="Arial"/>
          <w:lang w:eastAsia="es-MX"/>
        </w:rPr>
      </w:pPr>
      <w:r w:rsidRPr="00CA34F5">
        <w:rPr>
          <w:rFonts w:ascii="Arial" w:eastAsia="Times New Roman" w:hAnsi="Arial" w:cs="Arial"/>
          <w:lang w:eastAsia="es-MX"/>
        </w:rPr>
        <w:t>El Gobierno del Estado de Tabasco recibe ingresos presupuestales propios, ingresos federales, participaciones federales e ingresos extraordinarios, durante cada ejercicio fiscal. La Secretaría de Finanzas es la responsable del correcto ejercicio del presupuesto aprobado y de que se ejecute con oportunidad, eficiencia y eficacia de acuerdo a las acciones previstas en sus programas y proyectos para lograr las estrategias, metas y objetivos del Plan Estatal de Desarrollo (PLED). 2019 – 2024.</w:t>
      </w:r>
    </w:p>
    <w:p w14:paraId="6D40FC7E" w14:textId="77777777" w:rsidR="00F22179" w:rsidRPr="00CA34F5" w:rsidRDefault="00F22179" w:rsidP="000A4C31">
      <w:pPr>
        <w:spacing w:after="0" w:line="240" w:lineRule="auto"/>
        <w:jc w:val="both"/>
        <w:rPr>
          <w:rFonts w:ascii="Arial" w:eastAsia="Times New Roman" w:hAnsi="Arial" w:cs="Arial"/>
          <w:lang w:eastAsia="es-MX"/>
        </w:rPr>
      </w:pPr>
    </w:p>
    <w:p w14:paraId="0A1C6682" w14:textId="77777777" w:rsidR="00A16453" w:rsidRPr="00CA34F5" w:rsidRDefault="00A16453" w:rsidP="000A4C31">
      <w:pPr>
        <w:spacing w:after="0" w:line="240" w:lineRule="auto"/>
        <w:jc w:val="both"/>
        <w:rPr>
          <w:rFonts w:ascii="Arial" w:eastAsia="Times New Roman" w:hAnsi="Arial" w:cs="Arial"/>
          <w:lang w:eastAsia="es-MX"/>
        </w:rPr>
      </w:pPr>
      <w:r w:rsidRPr="00CA34F5">
        <w:rPr>
          <w:rFonts w:ascii="Arial" w:eastAsia="Times New Roman" w:hAnsi="Arial" w:cs="Arial"/>
          <w:lang w:eastAsia="es-MX"/>
        </w:rPr>
        <w:t xml:space="preserve">Los ingresos y los gastos presupuestarios,  se presentan  y revelan en los capítulos y partidas correspondientes,  en apego a la Ley Federal de Presupuesto y Responsabilidad  Hacendaria; la Ley General de Contabilidad Gubernamental, los Criterios emitidos por el Consejo Nacional de Armonización Contable para la elaboración y presentación homogénea de la información financiera y </w:t>
      </w:r>
      <w:r w:rsidRPr="00CA34F5">
        <w:rPr>
          <w:rFonts w:ascii="Arial" w:eastAsia="Times New Roman" w:hAnsi="Arial" w:cs="Arial"/>
          <w:lang w:eastAsia="es-MX"/>
        </w:rPr>
        <w:lastRenderedPageBreak/>
        <w:t>de los formatos a que hace referencia la ley de Disciplina Financiera de las Entidades Federativas y los Municipios, publicados en el Diario Oficial de la Federación el 11 de octubre del 2016; la Ley de Presupuesto y Responsabilidad Hacendaria del Estado de Tabasco y sus Municipios, así como a su Reglamento.</w:t>
      </w:r>
    </w:p>
    <w:p w14:paraId="578D8D65" w14:textId="77777777" w:rsidR="006A1B33" w:rsidRPr="00CA34F5" w:rsidRDefault="006A1B33" w:rsidP="000A4C31">
      <w:pPr>
        <w:spacing w:after="0" w:line="240" w:lineRule="auto"/>
        <w:jc w:val="both"/>
        <w:rPr>
          <w:rFonts w:ascii="Arial" w:eastAsia="Times New Roman" w:hAnsi="Arial" w:cs="Arial"/>
          <w:lang w:eastAsia="es-MX"/>
        </w:rPr>
      </w:pPr>
    </w:p>
    <w:p w14:paraId="6D3BDFD1" w14:textId="77777777" w:rsidR="002806BF" w:rsidRPr="00CA34F5" w:rsidRDefault="002806BF" w:rsidP="000A4C31">
      <w:pPr>
        <w:spacing w:after="0" w:line="240" w:lineRule="auto"/>
        <w:jc w:val="both"/>
        <w:rPr>
          <w:rFonts w:ascii="Arial" w:hAnsi="Arial" w:cs="Arial"/>
          <w:b/>
        </w:rPr>
      </w:pPr>
      <w:r w:rsidRPr="00CA34F5">
        <w:rPr>
          <w:rFonts w:ascii="Arial" w:hAnsi="Arial" w:cs="Arial"/>
          <w:b/>
        </w:rPr>
        <w:t>Creación y Entorno legal.</w:t>
      </w:r>
    </w:p>
    <w:p w14:paraId="2D063416" w14:textId="77777777" w:rsidR="002806BF" w:rsidRPr="00CA34F5" w:rsidRDefault="002806BF" w:rsidP="000A4C31">
      <w:pPr>
        <w:spacing w:after="0" w:line="240" w:lineRule="auto"/>
        <w:jc w:val="both"/>
        <w:rPr>
          <w:rFonts w:ascii="Arial" w:hAnsi="Arial" w:cs="Arial"/>
          <w:b/>
          <w:bCs/>
        </w:rPr>
      </w:pPr>
    </w:p>
    <w:p w14:paraId="3B4C10C5" w14:textId="3DA3D5E3" w:rsidR="00A16453" w:rsidRPr="00CA34F5" w:rsidRDefault="00A16453" w:rsidP="000A4C31">
      <w:pPr>
        <w:spacing w:after="0" w:line="240" w:lineRule="auto"/>
        <w:jc w:val="both"/>
        <w:rPr>
          <w:rFonts w:ascii="Arial" w:eastAsia="Times New Roman" w:hAnsi="Arial" w:cs="Arial"/>
          <w:lang w:eastAsia="es-MX"/>
        </w:rPr>
      </w:pPr>
      <w:r w:rsidRPr="00CA34F5">
        <w:rPr>
          <w:rFonts w:ascii="Arial" w:eastAsia="Times New Roman" w:hAnsi="Arial" w:cs="Arial"/>
          <w:lang w:eastAsia="es-MX"/>
        </w:rPr>
        <w:t xml:space="preserve">La fecha del Registro Federal de Contribuyentes del Estado de Tabasco </w:t>
      </w:r>
      <w:r w:rsidR="00406602" w:rsidRPr="00CA34F5">
        <w:rPr>
          <w:rFonts w:ascii="Arial" w:eastAsia="Times New Roman" w:hAnsi="Arial" w:cs="Arial"/>
          <w:lang w:eastAsia="es-MX"/>
        </w:rPr>
        <w:t>es</w:t>
      </w:r>
      <w:r w:rsidRPr="00CA34F5">
        <w:rPr>
          <w:rFonts w:ascii="Arial" w:eastAsia="Times New Roman" w:hAnsi="Arial" w:cs="Arial"/>
          <w:lang w:eastAsia="es-MX"/>
        </w:rPr>
        <w:t xml:space="preserve"> 01 de enero de 1971.</w:t>
      </w:r>
    </w:p>
    <w:p w14:paraId="702C3C5E" w14:textId="77777777" w:rsidR="00A16453" w:rsidRPr="00CA34F5" w:rsidRDefault="00A16453" w:rsidP="000A4C31">
      <w:pPr>
        <w:spacing w:after="0" w:line="240" w:lineRule="auto"/>
        <w:jc w:val="both"/>
        <w:rPr>
          <w:rFonts w:ascii="Arial" w:eastAsia="Times New Roman" w:hAnsi="Arial" w:cs="Arial"/>
          <w:lang w:eastAsia="es-MX"/>
        </w:rPr>
      </w:pPr>
    </w:p>
    <w:p w14:paraId="6C14C414" w14:textId="346CD155" w:rsidR="00A16453" w:rsidRPr="00CA34F5" w:rsidRDefault="00A16453" w:rsidP="000A4C31">
      <w:pPr>
        <w:spacing w:after="0" w:line="240" w:lineRule="auto"/>
        <w:jc w:val="both"/>
        <w:rPr>
          <w:rFonts w:ascii="Arial" w:eastAsia="Times New Roman" w:hAnsi="Arial" w:cs="Arial"/>
          <w:lang w:eastAsia="es-MX"/>
        </w:rPr>
      </w:pPr>
      <w:r w:rsidRPr="00CA34F5">
        <w:rPr>
          <w:rFonts w:ascii="Arial" w:eastAsia="Times New Roman" w:hAnsi="Arial" w:cs="Arial"/>
          <w:lang w:eastAsia="es-MX"/>
        </w:rPr>
        <w:t>De  conformidad   con  lo   dispuesto   por  la   Constitución  Política   de   los  Estados   Unidos  Mexicanos,   en   su  artículo   40,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esa ley fundamental. La organización, estructura y funciones del Gobierno del E</w:t>
      </w:r>
      <w:r w:rsidR="005C2E3E" w:rsidRPr="00CA34F5">
        <w:rPr>
          <w:rFonts w:ascii="Arial" w:eastAsia="Times New Roman" w:hAnsi="Arial" w:cs="Arial"/>
          <w:lang w:eastAsia="es-MX"/>
        </w:rPr>
        <w:t>stado de Tabasco están regidas</w:t>
      </w:r>
      <w:r w:rsidRPr="00CA34F5">
        <w:rPr>
          <w:rFonts w:ascii="Arial" w:eastAsia="Times New Roman" w:hAnsi="Arial" w:cs="Arial"/>
          <w:lang w:eastAsia="es-MX"/>
        </w:rPr>
        <w:t xml:space="preserve"> por la Constitución Política de los Estados Unidos Mexicanos, la Constitución Política del Estado de Tabasco, la Ley Orgánica del Poder Ejecutivo del Estado, los Reglamentos de las Secretarías y Coordinaciones, reglamentos y decretos específicos de la administración centralizada y paraestatal, la Ley Orgánica del Poder Legislativo y la Ley Orgánica del Poder Judicial.</w:t>
      </w:r>
    </w:p>
    <w:p w14:paraId="10A98831" w14:textId="77777777" w:rsidR="003E163E" w:rsidRPr="00CA34F5" w:rsidRDefault="003E163E" w:rsidP="000A4C31">
      <w:pPr>
        <w:spacing w:after="0" w:line="240" w:lineRule="auto"/>
        <w:jc w:val="both"/>
        <w:rPr>
          <w:rFonts w:ascii="Arial" w:eastAsia="Times New Roman" w:hAnsi="Arial" w:cs="Arial"/>
          <w:lang w:eastAsia="es-MX"/>
        </w:rPr>
      </w:pPr>
    </w:p>
    <w:p w14:paraId="3801BED1" w14:textId="77777777" w:rsidR="002806BF" w:rsidRPr="00CA34F5" w:rsidRDefault="002806BF" w:rsidP="000A4C31">
      <w:pPr>
        <w:spacing w:after="0" w:line="240" w:lineRule="auto"/>
        <w:jc w:val="both"/>
        <w:rPr>
          <w:rFonts w:ascii="Arial" w:hAnsi="Arial" w:cs="Arial"/>
          <w:b/>
          <w:bCs/>
        </w:rPr>
      </w:pPr>
      <w:r w:rsidRPr="00CA34F5">
        <w:rPr>
          <w:rFonts w:ascii="Arial" w:hAnsi="Arial" w:cs="Arial"/>
          <w:b/>
          <w:bCs/>
        </w:rPr>
        <w:t>Principales cambios en su estructura.</w:t>
      </w:r>
    </w:p>
    <w:p w14:paraId="3602245B" w14:textId="77777777" w:rsidR="002806BF" w:rsidRPr="00CA34F5" w:rsidRDefault="002806BF" w:rsidP="000A4C31">
      <w:pPr>
        <w:spacing w:after="0" w:line="240" w:lineRule="auto"/>
        <w:jc w:val="both"/>
        <w:rPr>
          <w:rFonts w:ascii="Arial" w:hAnsi="Arial" w:cs="Arial"/>
          <w:b/>
        </w:rPr>
      </w:pPr>
    </w:p>
    <w:p w14:paraId="39607BA8" w14:textId="77777777" w:rsidR="00A16453" w:rsidRPr="00CA34F5" w:rsidRDefault="00A16453" w:rsidP="000A4C31">
      <w:pPr>
        <w:spacing w:after="0" w:line="240" w:lineRule="auto"/>
        <w:jc w:val="both"/>
        <w:rPr>
          <w:rFonts w:ascii="Arial" w:eastAsia="Times New Roman" w:hAnsi="Arial" w:cs="Arial"/>
          <w:lang w:eastAsia="es-MX"/>
        </w:rPr>
      </w:pPr>
      <w:r w:rsidRPr="00CA34F5">
        <w:rPr>
          <w:rFonts w:ascii="Arial" w:eastAsia="Times New Roman" w:hAnsi="Arial" w:cs="Arial"/>
          <w:lang w:eastAsia="es-MX"/>
        </w:rPr>
        <w:t>El 28 de diciembre de 2018 fue publicado en el Periódico Oficial del Estado, el Decreto 060, que contiene la Ley Orgánica del Poder Ejecutivo, por la cual se transformó su estructura, quedando como sigue:</w:t>
      </w:r>
    </w:p>
    <w:p w14:paraId="01494023" w14:textId="2AA204B7" w:rsidR="002806BF" w:rsidRPr="00CA34F5" w:rsidRDefault="002806BF" w:rsidP="000A4C31">
      <w:pPr>
        <w:spacing w:after="0" w:line="240" w:lineRule="auto"/>
        <w:ind w:left="284"/>
        <w:jc w:val="both"/>
        <w:rPr>
          <w:rFonts w:ascii="Arial" w:eastAsia="Times New Roman" w:hAnsi="Arial" w:cs="Arial"/>
          <w:b/>
          <w:lang w:eastAsia="es-MX"/>
        </w:rPr>
      </w:pPr>
    </w:p>
    <w:p w14:paraId="6402D504" w14:textId="2E7ECF1E" w:rsidR="002806BF" w:rsidRPr="00CA34F5" w:rsidRDefault="002806BF" w:rsidP="00373189">
      <w:pPr>
        <w:spacing w:after="0" w:line="240" w:lineRule="auto"/>
        <w:jc w:val="both"/>
        <w:rPr>
          <w:rFonts w:ascii="Arial" w:eastAsia="Times New Roman" w:hAnsi="Arial" w:cs="Arial"/>
          <w:b/>
          <w:lang w:eastAsia="es-MX"/>
        </w:rPr>
      </w:pPr>
      <w:r w:rsidRPr="00CA34F5">
        <w:rPr>
          <w:rFonts w:ascii="Arial" w:eastAsia="Times New Roman" w:hAnsi="Arial" w:cs="Arial"/>
          <w:lang w:eastAsia="es-MX"/>
        </w:rPr>
        <w:t>.</w:t>
      </w:r>
      <w:r w:rsidRPr="00CA34F5">
        <w:rPr>
          <w:rFonts w:ascii="Arial" w:eastAsia="Times New Roman" w:hAnsi="Arial" w:cs="Arial"/>
          <w:b/>
          <w:lang w:eastAsia="es-MX"/>
        </w:rPr>
        <w:t>Gubernatura</w:t>
      </w:r>
    </w:p>
    <w:p w14:paraId="5BB2E466" w14:textId="77777777" w:rsidR="002806BF" w:rsidRPr="00CA34F5" w:rsidRDefault="002806BF" w:rsidP="000A4C31">
      <w:pPr>
        <w:spacing w:after="0" w:line="240" w:lineRule="auto"/>
        <w:jc w:val="both"/>
        <w:rPr>
          <w:rFonts w:ascii="Arial" w:eastAsia="Times New Roman" w:hAnsi="Arial" w:cs="Arial"/>
          <w:lang w:eastAsia="es-MX"/>
        </w:rPr>
      </w:pPr>
      <w:r w:rsidRPr="00CA34F5">
        <w:rPr>
          <w:rFonts w:ascii="Arial" w:eastAsia="Times New Roman" w:hAnsi="Arial" w:cs="Arial"/>
          <w:lang w:eastAsia="es-MX"/>
        </w:rPr>
        <w:t>Representación del Gobierno del Estado en la Ciudad de México,</w:t>
      </w:r>
    </w:p>
    <w:p w14:paraId="78F1171C" w14:textId="77777777" w:rsidR="002806BF" w:rsidRPr="00CA34F5" w:rsidRDefault="002806BF" w:rsidP="000A4C31">
      <w:pPr>
        <w:spacing w:after="0" w:line="240" w:lineRule="auto"/>
        <w:jc w:val="both"/>
        <w:rPr>
          <w:rFonts w:ascii="Arial" w:eastAsia="Times New Roman" w:hAnsi="Arial" w:cs="Arial"/>
          <w:lang w:eastAsia="es-MX"/>
        </w:rPr>
      </w:pPr>
      <w:r w:rsidRPr="00CA34F5">
        <w:rPr>
          <w:rFonts w:ascii="Arial" w:eastAsia="Times New Roman" w:hAnsi="Arial" w:cs="Arial"/>
          <w:lang w:eastAsia="es-MX"/>
        </w:rPr>
        <w:t>Secretaría Técnica y de Seguimiento Gubernamental,</w:t>
      </w:r>
    </w:p>
    <w:p w14:paraId="54108941" w14:textId="77777777" w:rsidR="002806BF" w:rsidRPr="00CA34F5" w:rsidRDefault="002806BF" w:rsidP="000A4C31">
      <w:pPr>
        <w:spacing w:after="0" w:line="240" w:lineRule="auto"/>
        <w:jc w:val="both"/>
        <w:rPr>
          <w:rFonts w:ascii="Arial" w:eastAsia="Times New Roman" w:hAnsi="Arial" w:cs="Arial"/>
          <w:lang w:eastAsia="es-MX"/>
        </w:rPr>
      </w:pPr>
      <w:r w:rsidRPr="00CA34F5">
        <w:rPr>
          <w:rFonts w:ascii="Arial" w:eastAsia="Times New Roman" w:hAnsi="Arial" w:cs="Arial"/>
          <w:lang w:eastAsia="es-MX"/>
        </w:rPr>
        <w:t>Unidad de Impulso a Proyectos Estratégicos,</w:t>
      </w:r>
    </w:p>
    <w:p w14:paraId="196E54AA" w14:textId="77777777" w:rsidR="002806BF" w:rsidRPr="00CA34F5" w:rsidRDefault="002806BF" w:rsidP="000A4C31">
      <w:pPr>
        <w:spacing w:after="0" w:line="240" w:lineRule="auto"/>
        <w:jc w:val="both"/>
        <w:rPr>
          <w:rFonts w:ascii="Arial" w:eastAsia="Times New Roman" w:hAnsi="Arial" w:cs="Arial"/>
          <w:lang w:eastAsia="es-MX"/>
        </w:rPr>
      </w:pPr>
      <w:r w:rsidRPr="00CA34F5">
        <w:rPr>
          <w:rFonts w:ascii="Arial" w:eastAsia="Times New Roman" w:hAnsi="Arial" w:cs="Arial"/>
          <w:lang w:eastAsia="es-MX"/>
        </w:rPr>
        <w:t>Secretaría Particular,</w:t>
      </w:r>
    </w:p>
    <w:p w14:paraId="38B2AD43" w14:textId="77777777" w:rsidR="002806BF" w:rsidRPr="00CA34F5" w:rsidRDefault="002806BF" w:rsidP="000A4C31">
      <w:pPr>
        <w:spacing w:after="0" w:line="240" w:lineRule="auto"/>
        <w:jc w:val="both"/>
        <w:rPr>
          <w:rFonts w:ascii="Arial" w:eastAsia="Times New Roman" w:hAnsi="Arial" w:cs="Arial"/>
          <w:lang w:eastAsia="es-MX"/>
        </w:rPr>
      </w:pPr>
      <w:r w:rsidRPr="00CA34F5">
        <w:rPr>
          <w:rFonts w:ascii="Arial" w:eastAsia="Times New Roman" w:hAnsi="Arial" w:cs="Arial"/>
          <w:lang w:eastAsia="es-MX"/>
        </w:rPr>
        <w:t>Coordinación General Ejecutiva de la Gubernatura,</w:t>
      </w:r>
    </w:p>
    <w:p w14:paraId="39ADC353" w14:textId="77777777" w:rsidR="002806BF" w:rsidRPr="00CA34F5" w:rsidRDefault="002806BF" w:rsidP="000A4C31">
      <w:pPr>
        <w:spacing w:after="0" w:line="240" w:lineRule="auto"/>
        <w:jc w:val="both"/>
        <w:rPr>
          <w:rFonts w:ascii="Arial" w:eastAsia="Times New Roman" w:hAnsi="Arial" w:cs="Arial"/>
          <w:lang w:eastAsia="es-MX"/>
        </w:rPr>
      </w:pPr>
      <w:r w:rsidRPr="00CA34F5">
        <w:rPr>
          <w:rFonts w:ascii="Arial" w:eastAsia="Times New Roman" w:hAnsi="Arial" w:cs="Arial"/>
          <w:lang w:eastAsia="es-MX"/>
        </w:rPr>
        <w:t>Coordinación General de Centros Integradores,</w:t>
      </w:r>
    </w:p>
    <w:p w14:paraId="5A2B14C7" w14:textId="77777777" w:rsidR="002806BF" w:rsidRPr="00CA34F5" w:rsidRDefault="002806BF" w:rsidP="000A4C31">
      <w:pPr>
        <w:spacing w:after="0" w:line="240" w:lineRule="auto"/>
        <w:jc w:val="both"/>
        <w:rPr>
          <w:rFonts w:ascii="Arial" w:eastAsia="Times New Roman" w:hAnsi="Arial" w:cs="Arial"/>
          <w:lang w:eastAsia="es-MX"/>
        </w:rPr>
      </w:pPr>
      <w:r w:rsidRPr="00CA34F5">
        <w:rPr>
          <w:rFonts w:ascii="Arial" w:eastAsia="Times New Roman" w:hAnsi="Arial" w:cs="Arial"/>
          <w:lang w:eastAsia="es-MX"/>
        </w:rPr>
        <w:t>Coordinación General de Vinculación con el Comité de Planeación para el Desarrollo del Estado de Tabasco.</w:t>
      </w:r>
    </w:p>
    <w:p w14:paraId="41C8F707" w14:textId="77777777" w:rsidR="002806BF" w:rsidRPr="00CA34F5" w:rsidRDefault="002806BF" w:rsidP="000A4C31">
      <w:pPr>
        <w:spacing w:after="0" w:line="240" w:lineRule="auto"/>
        <w:jc w:val="both"/>
        <w:rPr>
          <w:rFonts w:ascii="Arial" w:eastAsia="Times New Roman" w:hAnsi="Arial" w:cs="Arial"/>
          <w:lang w:eastAsia="es-MX"/>
        </w:rPr>
      </w:pPr>
    </w:p>
    <w:p w14:paraId="55B98E20" w14:textId="77777777" w:rsidR="002806BF" w:rsidRPr="00CA34F5" w:rsidRDefault="002806BF" w:rsidP="000A4C31">
      <w:pPr>
        <w:numPr>
          <w:ilvl w:val="0"/>
          <w:numId w:val="11"/>
        </w:numPr>
        <w:spacing w:after="0" w:line="240" w:lineRule="auto"/>
        <w:ind w:left="284" w:hanging="142"/>
        <w:jc w:val="both"/>
        <w:rPr>
          <w:rFonts w:ascii="Arial" w:eastAsia="Times New Roman" w:hAnsi="Arial" w:cs="Arial"/>
          <w:b/>
          <w:lang w:eastAsia="es-MX"/>
        </w:rPr>
      </w:pPr>
      <w:r w:rsidRPr="00CA34F5">
        <w:rPr>
          <w:rFonts w:ascii="Arial" w:eastAsia="Times New Roman" w:hAnsi="Arial" w:cs="Arial"/>
          <w:b/>
          <w:lang w:eastAsia="es-MX"/>
        </w:rPr>
        <w:t>Organismos y Entidades</w:t>
      </w:r>
    </w:p>
    <w:p w14:paraId="48E9C7A5" w14:textId="77777777" w:rsidR="004E5F6A" w:rsidRPr="00CA34F5" w:rsidRDefault="004E5F6A" w:rsidP="000A4C31">
      <w:pPr>
        <w:spacing w:after="0" w:line="240" w:lineRule="auto"/>
        <w:ind w:left="284"/>
        <w:jc w:val="both"/>
        <w:rPr>
          <w:rFonts w:ascii="Arial" w:eastAsia="Times New Roman" w:hAnsi="Arial" w:cs="Arial"/>
          <w:b/>
          <w:lang w:eastAsia="es-MX"/>
        </w:rPr>
      </w:pPr>
    </w:p>
    <w:p w14:paraId="4DD7F259" w14:textId="77777777" w:rsidR="00A16453" w:rsidRPr="00CA34F5" w:rsidRDefault="00A16453" w:rsidP="000A4C31">
      <w:pPr>
        <w:spacing w:after="0" w:line="240" w:lineRule="auto"/>
        <w:jc w:val="both"/>
        <w:rPr>
          <w:rFonts w:ascii="Arial" w:eastAsia="Times New Roman" w:hAnsi="Arial" w:cs="Arial"/>
          <w:lang w:eastAsia="es-MX"/>
        </w:rPr>
      </w:pPr>
      <w:r w:rsidRPr="00CA34F5">
        <w:rPr>
          <w:rFonts w:ascii="Arial" w:eastAsia="Times New Roman" w:hAnsi="Arial" w:cs="Arial"/>
          <w:lang w:eastAsia="es-MX"/>
        </w:rPr>
        <w:t>En los términos de la exposición de motivos inserta en el referido decreto, el Titular del Poder Ejecutivo y el H. Congreso del Estado habrán de realizar en el ámbito de sus respectivas competencias, las modificaciones a los instrumentos jurídicos, reglamentarios y administrativos para disolver, fusionar y/o sectorizar los organismos estatales que corresponda.</w:t>
      </w:r>
    </w:p>
    <w:p w14:paraId="19A7503B" w14:textId="77777777" w:rsidR="006F4618" w:rsidRDefault="006F4618" w:rsidP="000A4C31">
      <w:pPr>
        <w:spacing w:after="0" w:line="240" w:lineRule="auto"/>
        <w:jc w:val="both"/>
        <w:rPr>
          <w:rFonts w:ascii="Arial" w:eastAsia="Times New Roman" w:hAnsi="Arial" w:cs="Arial"/>
          <w:lang w:eastAsia="es-MX"/>
        </w:rPr>
      </w:pPr>
    </w:p>
    <w:p w14:paraId="5394EFF2" w14:textId="77777777" w:rsidR="00267429" w:rsidRDefault="00267429" w:rsidP="000A4C31">
      <w:pPr>
        <w:spacing w:after="0" w:line="240" w:lineRule="auto"/>
        <w:jc w:val="both"/>
        <w:rPr>
          <w:rFonts w:ascii="Arial" w:eastAsia="Times New Roman" w:hAnsi="Arial" w:cs="Arial"/>
          <w:lang w:eastAsia="es-MX"/>
        </w:rPr>
      </w:pPr>
    </w:p>
    <w:p w14:paraId="13C60403" w14:textId="77777777" w:rsidR="00267429" w:rsidRDefault="00267429" w:rsidP="000A4C31">
      <w:pPr>
        <w:spacing w:after="0" w:line="240" w:lineRule="auto"/>
        <w:jc w:val="both"/>
        <w:rPr>
          <w:rFonts w:ascii="Arial" w:eastAsia="Times New Roman" w:hAnsi="Arial" w:cs="Arial"/>
          <w:lang w:eastAsia="es-MX"/>
        </w:rPr>
      </w:pPr>
    </w:p>
    <w:p w14:paraId="2E94AC8D" w14:textId="77777777" w:rsidR="00267429" w:rsidRPr="00CA34F5" w:rsidRDefault="00267429" w:rsidP="000A4C31">
      <w:pPr>
        <w:spacing w:after="0" w:line="240" w:lineRule="auto"/>
        <w:jc w:val="both"/>
        <w:rPr>
          <w:rFonts w:ascii="Arial" w:eastAsia="Times New Roman" w:hAnsi="Arial" w:cs="Arial"/>
          <w:lang w:eastAsia="es-MX"/>
        </w:rPr>
      </w:pPr>
    </w:p>
    <w:p w14:paraId="34522444" w14:textId="77777777" w:rsidR="002806BF" w:rsidRPr="00CA34F5" w:rsidRDefault="002806BF" w:rsidP="000A4C31">
      <w:pPr>
        <w:numPr>
          <w:ilvl w:val="0"/>
          <w:numId w:val="12"/>
        </w:numPr>
        <w:spacing w:after="0" w:line="240" w:lineRule="auto"/>
        <w:ind w:left="284"/>
        <w:contextualSpacing/>
        <w:jc w:val="both"/>
        <w:rPr>
          <w:rFonts w:ascii="Arial" w:hAnsi="Arial" w:cs="Arial"/>
          <w:b/>
        </w:rPr>
      </w:pPr>
      <w:r w:rsidRPr="00CA34F5">
        <w:rPr>
          <w:rFonts w:ascii="Arial" w:hAnsi="Arial" w:cs="Arial"/>
          <w:b/>
        </w:rPr>
        <w:lastRenderedPageBreak/>
        <w:t>Organización y Objeto Social</w:t>
      </w:r>
    </w:p>
    <w:p w14:paraId="4E460537" w14:textId="77777777" w:rsidR="002806BF" w:rsidRPr="00CA34F5" w:rsidRDefault="002806BF" w:rsidP="000A4C31">
      <w:pPr>
        <w:spacing w:after="0" w:line="240" w:lineRule="auto"/>
        <w:ind w:left="142"/>
        <w:contextualSpacing/>
        <w:jc w:val="both"/>
        <w:rPr>
          <w:rFonts w:ascii="Arial" w:hAnsi="Arial" w:cs="Arial"/>
          <w:b/>
        </w:rPr>
      </w:pPr>
    </w:p>
    <w:p w14:paraId="17B15422" w14:textId="1E8E66AB" w:rsidR="00A16453" w:rsidRPr="00CA34F5" w:rsidRDefault="00A16453" w:rsidP="000A4C31">
      <w:pPr>
        <w:pStyle w:val="Prrafodelista"/>
        <w:numPr>
          <w:ilvl w:val="0"/>
          <w:numId w:val="1"/>
        </w:numPr>
        <w:spacing w:line="240" w:lineRule="auto"/>
        <w:jc w:val="both"/>
        <w:rPr>
          <w:rFonts w:ascii="Arial" w:eastAsia="Times New Roman" w:hAnsi="Arial" w:cs="Arial"/>
          <w:lang w:eastAsia="es-MX"/>
        </w:rPr>
      </w:pPr>
      <w:r w:rsidRPr="00CA34F5">
        <w:rPr>
          <w:rFonts w:ascii="Arial" w:eastAsia="Times New Roman" w:hAnsi="Arial" w:cs="Arial"/>
          <w:b/>
          <w:bCs/>
          <w:lang w:eastAsia="es-MX"/>
        </w:rPr>
        <w:t>Objeto:</w:t>
      </w:r>
      <w:r w:rsidRPr="00CA34F5">
        <w:rPr>
          <w:rFonts w:ascii="Arial" w:eastAsia="Times New Roman" w:hAnsi="Arial" w:cs="Arial"/>
          <w:lang w:eastAsia="es-MX"/>
        </w:rPr>
        <w:t xml:space="preserve"> La Constitución Política del Estado Libre y Soberano de Tabasco, en su artículo 76, señala que corresponde al Estado la rectoría del desarrollo en la entidad, para garantizar que éste sea integral, que fortalezca su soberanía y su régimen democrático y que, mediante el crecimiento económico, fomente el empleo, y una más justa distribución del ingreso y la riqueza, permita el pleno ejercicio de las libertades y la dignidad de los individuos, grupos y clases sociales cuya seguridad protege el derecho.</w:t>
      </w:r>
    </w:p>
    <w:p w14:paraId="08F5486A" w14:textId="77777777" w:rsidR="00A16453" w:rsidRPr="00CA34F5" w:rsidRDefault="00A16453" w:rsidP="000A4C31">
      <w:pPr>
        <w:pStyle w:val="Prrafodelista"/>
        <w:spacing w:line="240" w:lineRule="auto"/>
        <w:jc w:val="both"/>
        <w:rPr>
          <w:rFonts w:ascii="Arial" w:eastAsia="Times New Roman" w:hAnsi="Arial" w:cs="Arial"/>
          <w:lang w:eastAsia="es-MX"/>
        </w:rPr>
      </w:pPr>
    </w:p>
    <w:p w14:paraId="7B3787B4" w14:textId="1FA85428" w:rsidR="002806BF" w:rsidRPr="00CA34F5" w:rsidRDefault="002806BF" w:rsidP="000A4C31">
      <w:pPr>
        <w:pStyle w:val="Prrafodelista"/>
        <w:numPr>
          <w:ilvl w:val="0"/>
          <w:numId w:val="2"/>
        </w:numPr>
        <w:spacing w:after="0" w:line="240" w:lineRule="auto"/>
        <w:jc w:val="both"/>
        <w:rPr>
          <w:rFonts w:ascii="Arial" w:eastAsia="Times New Roman" w:hAnsi="Arial" w:cs="Arial"/>
          <w:lang w:eastAsia="es-MX"/>
        </w:rPr>
      </w:pPr>
      <w:r w:rsidRPr="00CA34F5">
        <w:rPr>
          <w:rFonts w:ascii="Arial" w:eastAsia="Times New Roman" w:hAnsi="Arial" w:cs="Arial"/>
          <w:b/>
          <w:bCs/>
          <w:lang w:eastAsia="es-MX"/>
        </w:rPr>
        <w:t>Principales Actividades y Atribuciones:  </w:t>
      </w:r>
      <w:r w:rsidR="00CF723A" w:rsidRPr="00CA34F5">
        <w:rPr>
          <w:rFonts w:ascii="Arial" w:eastAsia="Times New Roman" w:hAnsi="Arial" w:cs="Arial"/>
          <w:lang w:eastAsia="es-MX"/>
        </w:rPr>
        <w:t>En su artículo 3º, la Ley Orgánica del Poder Ejecutivo vigente, señala que la Administración Pública Estatal ajustará la planeación y ejecución de las políticas públicas, así como el ejercicio de sus facultades, a los siguientes principios:</w:t>
      </w:r>
    </w:p>
    <w:p w14:paraId="38B1F2ED" w14:textId="77777777" w:rsidR="00CF723A" w:rsidRPr="00CA34F5" w:rsidRDefault="00CF723A" w:rsidP="000A4C31">
      <w:pPr>
        <w:spacing w:after="0" w:line="240" w:lineRule="auto"/>
        <w:ind w:left="720"/>
        <w:jc w:val="both"/>
        <w:rPr>
          <w:rFonts w:ascii="Arial" w:eastAsia="Times New Roman" w:hAnsi="Arial" w:cs="Arial"/>
          <w:lang w:eastAsia="es-MX"/>
        </w:rPr>
      </w:pPr>
    </w:p>
    <w:p w14:paraId="0BE77C2F" w14:textId="77777777" w:rsidR="00A16453" w:rsidRPr="00CA34F5" w:rsidRDefault="00A16453" w:rsidP="000A4C31">
      <w:pPr>
        <w:numPr>
          <w:ilvl w:val="1"/>
          <w:numId w:val="2"/>
        </w:numPr>
        <w:tabs>
          <w:tab w:val="left" w:pos="851"/>
        </w:tabs>
        <w:spacing w:line="240" w:lineRule="auto"/>
        <w:ind w:left="993"/>
        <w:contextualSpacing/>
        <w:jc w:val="both"/>
        <w:rPr>
          <w:rFonts w:ascii="Arial" w:eastAsia="Times New Roman" w:hAnsi="Arial" w:cs="Arial"/>
          <w:lang w:eastAsia="es-MX"/>
        </w:rPr>
      </w:pPr>
      <w:r w:rsidRPr="00CA34F5">
        <w:rPr>
          <w:rFonts w:ascii="Arial" w:eastAsia="Times New Roman" w:hAnsi="Arial" w:cs="Arial"/>
          <w:lang w:eastAsia="es-MX"/>
        </w:rPr>
        <w:t>Legalidad, honradez, lealtad, imparcialidad, eficiencia, eficacia, disciplina, objetividad, profesionalismo, integridad, austeridad y rendición de cuentas, que deben observarse en el desempeño de los empleos, cargos o comisiones del servicio público y en la planeación, adquisición, guarda y administración de los recursos económicos y bienes de que disponga el Gobierno del Estado;</w:t>
      </w:r>
    </w:p>
    <w:p w14:paraId="20DD0B45" w14:textId="77777777" w:rsidR="00A16453" w:rsidRPr="00CA34F5" w:rsidRDefault="00A16453" w:rsidP="000A4C31">
      <w:pPr>
        <w:numPr>
          <w:ilvl w:val="1"/>
          <w:numId w:val="2"/>
        </w:numPr>
        <w:tabs>
          <w:tab w:val="left" w:pos="851"/>
        </w:tabs>
        <w:spacing w:after="0" w:line="240" w:lineRule="auto"/>
        <w:ind w:left="993"/>
        <w:contextualSpacing/>
        <w:jc w:val="both"/>
        <w:rPr>
          <w:rFonts w:ascii="Arial" w:eastAsia="Times New Roman" w:hAnsi="Arial" w:cs="Arial"/>
          <w:lang w:eastAsia="es-MX"/>
        </w:rPr>
      </w:pPr>
      <w:r w:rsidRPr="00CA34F5">
        <w:rPr>
          <w:rFonts w:ascii="Arial" w:eastAsia="Times New Roman" w:hAnsi="Arial" w:cs="Arial"/>
          <w:lang w:eastAsia="es-MX"/>
        </w:rPr>
        <w:t>El respeto a los derechos humanos y su promoción transversal y permanente; con especial atención a la igualdad de género y el cuidado a grupos vulnerables;</w:t>
      </w:r>
    </w:p>
    <w:p w14:paraId="78B8A5A5" w14:textId="78D613F2" w:rsidR="002806BF" w:rsidRPr="00CA34F5" w:rsidRDefault="002806BF" w:rsidP="000A4C31">
      <w:pPr>
        <w:numPr>
          <w:ilvl w:val="1"/>
          <w:numId w:val="2"/>
        </w:numPr>
        <w:tabs>
          <w:tab w:val="left" w:pos="851"/>
        </w:tabs>
        <w:spacing w:after="0" w:line="240" w:lineRule="auto"/>
        <w:ind w:left="993"/>
        <w:contextualSpacing/>
        <w:jc w:val="both"/>
        <w:rPr>
          <w:rFonts w:ascii="Arial" w:eastAsia="Times New Roman" w:hAnsi="Arial" w:cs="Arial"/>
          <w:lang w:eastAsia="es-MX"/>
        </w:rPr>
      </w:pPr>
      <w:r w:rsidRPr="00CA34F5">
        <w:rPr>
          <w:rFonts w:ascii="Arial" w:eastAsia="Times New Roman" w:hAnsi="Arial" w:cs="Arial"/>
          <w:lang w:eastAsia="es-MX"/>
        </w:rPr>
        <w:t>La construcción de ciudadanía a través de la identificación de la sociedad tabasqueña con el orden jurídico y la permanente promoción de la cultura de la legalidad;</w:t>
      </w:r>
    </w:p>
    <w:p w14:paraId="3AFB7DC2" w14:textId="77777777" w:rsidR="00D768DC" w:rsidRPr="00CA34F5" w:rsidRDefault="00D768DC" w:rsidP="000A4C31">
      <w:pPr>
        <w:numPr>
          <w:ilvl w:val="1"/>
          <w:numId w:val="2"/>
        </w:numPr>
        <w:tabs>
          <w:tab w:val="left" w:pos="851"/>
        </w:tabs>
        <w:spacing w:after="0" w:line="240" w:lineRule="auto"/>
        <w:ind w:left="993"/>
        <w:contextualSpacing/>
        <w:jc w:val="both"/>
        <w:rPr>
          <w:rFonts w:ascii="Arial" w:eastAsia="Times New Roman" w:hAnsi="Arial" w:cs="Arial"/>
          <w:lang w:eastAsia="es-MX"/>
        </w:rPr>
      </w:pPr>
      <w:r w:rsidRPr="00CA34F5">
        <w:rPr>
          <w:rFonts w:ascii="Arial" w:eastAsia="Times New Roman" w:hAnsi="Arial" w:cs="Arial"/>
          <w:lang w:eastAsia="es-MX"/>
        </w:rPr>
        <w:t>La conjunción de esfuerzos para mejorar el bienestar individual y colectivo de los tabasqueños y aumentar su expectativa de vida;</w:t>
      </w:r>
    </w:p>
    <w:p w14:paraId="718CA569" w14:textId="77777777" w:rsidR="00D768DC" w:rsidRPr="00CA34F5" w:rsidRDefault="00D768DC" w:rsidP="000A4C31">
      <w:pPr>
        <w:numPr>
          <w:ilvl w:val="1"/>
          <w:numId w:val="2"/>
        </w:numPr>
        <w:tabs>
          <w:tab w:val="left" w:pos="851"/>
        </w:tabs>
        <w:spacing w:after="0" w:line="240" w:lineRule="auto"/>
        <w:ind w:left="993"/>
        <w:contextualSpacing/>
        <w:jc w:val="both"/>
        <w:rPr>
          <w:rFonts w:ascii="Arial" w:eastAsia="Times New Roman" w:hAnsi="Arial" w:cs="Arial"/>
          <w:lang w:eastAsia="es-MX"/>
        </w:rPr>
      </w:pPr>
      <w:r w:rsidRPr="00CA34F5">
        <w:rPr>
          <w:rFonts w:ascii="Arial" w:eastAsia="Times New Roman" w:hAnsi="Arial" w:cs="Arial"/>
          <w:lang w:eastAsia="es-MX"/>
        </w:rPr>
        <w:t>La disminución de la pobreza y la marginación, generando oportunidades de desarrollo individual y colectivo para los grupos más vulnerables, fomentando la solidaridad y las soluciones colectivas;</w:t>
      </w:r>
    </w:p>
    <w:p w14:paraId="11641390" w14:textId="45200087" w:rsidR="002806BF" w:rsidRPr="00CA34F5" w:rsidRDefault="00D768DC" w:rsidP="000A4C31">
      <w:pPr>
        <w:numPr>
          <w:ilvl w:val="1"/>
          <w:numId w:val="2"/>
        </w:numPr>
        <w:tabs>
          <w:tab w:val="left" w:pos="851"/>
        </w:tabs>
        <w:spacing w:after="0" w:line="240" w:lineRule="auto"/>
        <w:ind w:left="993"/>
        <w:contextualSpacing/>
        <w:jc w:val="both"/>
        <w:rPr>
          <w:rFonts w:ascii="Arial" w:eastAsia="Times New Roman" w:hAnsi="Arial" w:cs="Arial"/>
          <w:lang w:eastAsia="es-MX"/>
        </w:rPr>
      </w:pPr>
      <w:r w:rsidRPr="00CA34F5">
        <w:rPr>
          <w:rFonts w:ascii="Arial" w:eastAsia="Times New Roman" w:hAnsi="Arial" w:cs="Arial"/>
          <w:lang w:eastAsia="es-MX"/>
        </w:rPr>
        <w:t>Fomentar el cuidado del medio ambiente y la reparación de los daños ocasionados a éste, así como la generación de una nueva cultura en materia de protección ambiental que garantice a las nuevas generaciones el desarrollo sustentable;</w:t>
      </w:r>
    </w:p>
    <w:p w14:paraId="474F24E6" w14:textId="268F0577" w:rsidR="002806BF" w:rsidRPr="00CA34F5" w:rsidRDefault="00D768DC" w:rsidP="000A4C31">
      <w:pPr>
        <w:numPr>
          <w:ilvl w:val="1"/>
          <w:numId w:val="2"/>
        </w:numPr>
        <w:tabs>
          <w:tab w:val="left" w:pos="851"/>
        </w:tabs>
        <w:spacing w:after="0" w:line="240" w:lineRule="auto"/>
        <w:ind w:left="993"/>
        <w:contextualSpacing/>
        <w:jc w:val="both"/>
        <w:rPr>
          <w:rFonts w:ascii="Arial" w:eastAsia="Times New Roman" w:hAnsi="Arial" w:cs="Arial"/>
          <w:lang w:eastAsia="es-MX"/>
        </w:rPr>
      </w:pPr>
      <w:r w:rsidRPr="00CA34F5">
        <w:rPr>
          <w:rFonts w:ascii="Arial" w:eastAsia="Times New Roman" w:hAnsi="Arial" w:cs="Arial"/>
          <w:lang w:eastAsia="es-MX"/>
        </w:rPr>
        <w:t>La mejoría a la competitividad del Estado con la aplicación de políticas públicas idóneas y la utilización de indicadores adecuados para evaluar el cumplimiento de los planes y programas de gobierno, garantizando su correcta ejecución y la transparencia en el uso de los recursos;</w:t>
      </w:r>
    </w:p>
    <w:p w14:paraId="5CF21814" w14:textId="77777777" w:rsidR="00D768DC" w:rsidRPr="00CA34F5" w:rsidRDefault="00D768DC" w:rsidP="000A4C31">
      <w:pPr>
        <w:numPr>
          <w:ilvl w:val="1"/>
          <w:numId w:val="2"/>
        </w:numPr>
        <w:tabs>
          <w:tab w:val="left" w:pos="851"/>
        </w:tabs>
        <w:spacing w:after="0" w:line="240" w:lineRule="auto"/>
        <w:ind w:left="993"/>
        <w:contextualSpacing/>
        <w:jc w:val="both"/>
        <w:rPr>
          <w:rFonts w:ascii="Arial" w:eastAsia="Times New Roman" w:hAnsi="Arial" w:cs="Arial"/>
          <w:lang w:eastAsia="es-MX"/>
        </w:rPr>
      </w:pPr>
      <w:r w:rsidRPr="00CA34F5">
        <w:rPr>
          <w:rFonts w:ascii="Arial" w:eastAsia="Times New Roman" w:hAnsi="Arial" w:cs="Arial"/>
          <w:lang w:eastAsia="es-MX"/>
        </w:rPr>
        <w:t>La promoción de la participación responsable y solidaria de la sociedad civil organizada en la planeación y ejecución de las políticas públicas. La Administración Pública no sirve a intereses particulares, de grupo o de partido político, sólo sirve al interés general;</w:t>
      </w:r>
    </w:p>
    <w:p w14:paraId="6B7320D6" w14:textId="77777777" w:rsidR="00D768DC" w:rsidRPr="00CA34F5" w:rsidRDefault="00D768DC" w:rsidP="000A4C31">
      <w:pPr>
        <w:numPr>
          <w:ilvl w:val="1"/>
          <w:numId w:val="2"/>
        </w:numPr>
        <w:tabs>
          <w:tab w:val="left" w:pos="851"/>
        </w:tabs>
        <w:spacing w:after="0" w:line="240" w:lineRule="auto"/>
        <w:ind w:left="993"/>
        <w:contextualSpacing/>
        <w:jc w:val="both"/>
        <w:rPr>
          <w:rFonts w:ascii="Arial" w:eastAsia="Times New Roman" w:hAnsi="Arial" w:cs="Arial"/>
          <w:lang w:eastAsia="es-MX"/>
        </w:rPr>
      </w:pPr>
      <w:r w:rsidRPr="00CA34F5">
        <w:rPr>
          <w:rFonts w:ascii="Arial" w:eastAsia="Times New Roman" w:hAnsi="Arial" w:cs="Arial"/>
          <w:lang w:eastAsia="es-MX"/>
        </w:rPr>
        <w:t>La generación en los servidores públicos de una actitud de compromiso, calidad y calidez en la atención y en el trato a las personas, como normas invariables de conducta al servicio de la comunidad;</w:t>
      </w:r>
    </w:p>
    <w:p w14:paraId="63A50A7E" w14:textId="77777777" w:rsidR="00D768DC" w:rsidRPr="00CA34F5" w:rsidRDefault="00D768DC" w:rsidP="000A4C31">
      <w:pPr>
        <w:numPr>
          <w:ilvl w:val="1"/>
          <w:numId w:val="2"/>
        </w:numPr>
        <w:tabs>
          <w:tab w:val="left" w:pos="851"/>
        </w:tabs>
        <w:spacing w:after="0" w:line="240" w:lineRule="auto"/>
        <w:ind w:left="993"/>
        <w:contextualSpacing/>
        <w:jc w:val="both"/>
        <w:rPr>
          <w:rFonts w:ascii="Arial" w:eastAsia="Times New Roman" w:hAnsi="Arial" w:cs="Arial"/>
          <w:lang w:eastAsia="es-MX"/>
        </w:rPr>
      </w:pPr>
      <w:r w:rsidRPr="00CA34F5">
        <w:rPr>
          <w:rFonts w:ascii="Arial" w:eastAsia="Times New Roman" w:hAnsi="Arial" w:cs="Arial"/>
          <w:lang w:eastAsia="es-MX"/>
        </w:rPr>
        <w:t>Solidaridad, trabajo de coordinación y equipo, en el quehacer gubernamental diario, entre todos los servidores de la Administración Pública del Estado;</w:t>
      </w:r>
    </w:p>
    <w:p w14:paraId="771DBAE7" w14:textId="77777777" w:rsidR="002806BF" w:rsidRPr="00CA34F5" w:rsidRDefault="002806BF" w:rsidP="000A4C31">
      <w:pPr>
        <w:numPr>
          <w:ilvl w:val="1"/>
          <w:numId w:val="2"/>
        </w:numPr>
        <w:tabs>
          <w:tab w:val="left" w:pos="851"/>
        </w:tabs>
        <w:spacing w:after="0" w:line="240" w:lineRule="auto"/>
        <w:ind w:left="993"/>
        <w:contextualSpacing/>
        <w:jc w:val="both"/>
        <w:rPr>
          <w:rFonts w:ascii="Arial" w:eastAsia="Times New Roman" w:hAnsi="Arial" w:cs="Arial"/>
          <w:lang w:eastAsia="es-MX"/>
        </w:rPr>
      </w:pPr>
      <w:r w:rsidRPr="00CA34F5">
        <w:rPr>
          <w:rFonts w:ascii="Arial" w:eastAsia="Times New Roman" w:hAnsi="Arial" w:cs="Arial"/>
          <w:lang w:eastAsia="es-MX"/>
        </w:rPr>
        <w:t>Simplificación, agilidad, accesibilidad, economía, información, precisión, legalidad, transparencia, oportunidad e imparcialidad en los actos y procedimientos administrativos en general; y</w:t>
      </w:r>
    </w:p>
    <w:p w14:paraId="4A981E49" w14:textId="77777777" w:rsidR="002806BF" w:rsidRPr="00CA34F5" w:rsidRDefault="002806BF" w:rsidP="000A4C31">
      <w:pPr>
        <w:numPr>
          <w:ilvl w:val="1"/>
          <w:numId w:val="2"/>
        </w:numPr>
        <w:tabs>
          <w:tab w:val="left" w:pos="851"/>
        </w:tabs>
        <w:spacing w:after="0" w:line="240" w:lineRule="auto"/>
        <w:ind w:left="993"/>
        <w:contextualSpacing/>
        <w:jc w:val="both"/>
        <w:rPr>
          <w:rFonts w:ascii="Arial" w:eastAsia="Times New Roman" w:hAnsi="Arial" w:cs="Arial"/>
          <w:lang w:eastAsia="es-MX"/>
        </w:rPr>
      </w:pPr>
      <w:r w:rsidRPr="00CA34F5">
        <w:rPr>
          <w:rFonts w:ascii="Arial" w:eastAsia="Times New Roman" w:hAnsi="Arial" w:cs="Arial"/>
          <w:lang w:eastAsia="es-MX"/>
        </w:rPr>
        <w:t>Cobertura total, oportuna, ágil y especializada de los servicios de seguridad pública y procuración de justicia para la protección de las personas, sus familias y sus bienes, sin distinción alguna;</w:t>
      </w:r>
    </w:p>
    <w:p w14:paraId="48CEC5A3" w14:textId="77777777" w:rsidR="002806BF" w:rsidRPr="00CA34F5" w:rsidRDefault="002806BF" w:rsidP="000A4C31">
      <w:pPr>
        <w:spacing w:after="0" w:line="240" w:lineRule="auto"/>
        <w:ind w:left="720"/>
        <w:contextualSpacing/>
        <w:jc w:val="both"/>
        <w:rPr>
          <w:rFonts w:ascii="Arial" w:eastAsia="Times New Roman" w:hAnsi="Arial" w:cs="Arial"/>
          <w:lang w:eastAsia="es-MX"/>
        </w:rPr>
      </w:pPr>
    </w:p>
    <w:p w14:paraId="10FC8E9C" w14:textId="77777777" w:rsidR="00D768DC" w:rsidRPr="00CA34F5" w:rsidRDefault="00D768DC" w:rsidP="000A4C31">
      <w:pPr>
        <w:pStyle w:val="Prrafodelista"/>
        <w:spacing w:after="0" w:line="240" w:lineRule="auto"/>
        <w:jc w:val="both"/>
        <w:rPr>
          <w:rFonts w:ascii="Arial" w:eastAsia="Times New Roman" w:hAnsi="Arial" w:cs="Arial"/>
          <w:lang w:eastAsia="es-MX"/>
        </w:rPr>
      </w:pPr>
      <w:r w:rsidRPr="00CA34F5">
        <w:rPr>
          <w:rFonts w:ascii="Arial" w:eastAsia="Times New Roman" w:hAnsi="Arial" w:cs="Arial"/>
          <w:lang w:eastAsia="es-MX"/>
        </w:rPr>
        <w:t>El Gobierno del Estado, promoverá la participación de organizaciones ciudadanas a efecto de fomentar la libre expresión de opiniones y recomendaciones de la sociedad respecto de la vigilancia, seguimiento, evaluación y mejoramiento de la administración pública en las diferentes Dependencias y Entidades.</w:t>
      </w:r>
    </w:p>
    <w:p w14:paraId="1C5AD8BF" w14:textId="77777777" w:rsidR="002A191B" w:rsidRPr="00CA34F5" w:rsidRDefault="002A191B" w:rsidP="000A4C31">
      <w:pPr>
        <w:pStyle w:val="Prrafodelista"/>
        <w:spacing w:after="0" w:line="240" w:lineRule="auto"/>
        <w:jc w:val="both"/>
        <w:rPr>
          <w:rFonts w:ascii="Arial" w:eastAsia="Times New Roman" w:hAnsi="Arial" w:cs="Arial"/>
          <w:lang w:eastAsia="es-MX"/>
        </w:rPr>
      </w:pPr>
    </w:p>
    <w:p w14:paraId="107B86FC" w14:textId="75DAE7E3" w:rsidR="002806BF" w:rsidRPr="00CA34F5" w:rsidRDefault="002806BF" w:rsidP="000A4C31">
      <w:pPr>
        <w:numPr>
          <w:ilvl w:val="0"/>
          <w:numId w:val="3"/>
        </w:numPr>
        <w:spacing w:line="240" w:lineRule="auto"/>
        <w:jc w:val="both"/>
        <w:rPr>
          <w:rFonts w:ascii="Arial" w:eastAsia="Times New Roman" w:hAnsi="Arial" w:cs="Arial"/>
          <w:lang w:eastAsia="es-MX"/>
        </w:rPr>
      </w:pPr>
      <w:r w:rsidRPr="00CA34F5">
        <w:rPr>
          <w:rFonts w:ascii="Arial" w:eastAsia="Times New Roman" w:hAnsi="Arial" w:cs="Arial"/>
          <w:b/>
          <w:bCs/>
          <w:lang w:eastAsia="es-MX"/>
        </w:rPr>
        <w:t xml:space="preserve">Ejercicio Fiscal: </w:t>
      </w:r>
      <w:r w:rsidRPr="00CA34F5">
        <w:rPr>
          <w:rFonts w:ascii="Arial" w:eastAsia="Times New Roman" w:hAnsi="Arial" w:cs="Arial"/>
          <w:lang w:eastAsia="es-MX"/>
        </w:rPr>
        <w:t>es por año de calendario. La información que se incluye en estas notas comprende de</w:t>
      </w:r>
      <w:r w:rsidR="00FB02C6" w:rsidRPr="00CA34F5">
        <w:rPr>
          <w:rFonts w:ascii="Arial" w:eastAsia="Times New Roman" w:hAnsi="Arial" w:cs="Arial"/>
          <w:lang w:eastAsia="es-MX"/>
        </w:rPr>
        <w:t xml:space="preserve">l 1 de enero al </w:t>
      </w:r>
      <w:r w:rsidR="00A62BE2" w:rsidRPr="00CA34F5">
        <w:rPr>
          <w:rFonts w:ascii="Arial" w:eastAsia="Times New Roman" w:hAnsi="Arial" w:cs="Arial"/>
          <w:lang w:eastAsia="es-MX"/>
        </w:rPr>
        <w:t>31 de diciembre</w:t>
      </w:r>
      <w:r w:rsidR="009C784F" w:rsidRPr="00CA34F5">
        <w:rPr>
          <w:rFonts w:ascii="Arial" w:eastAsia="Times New Roman" w:hAnsi="Arial" w:cs="Arial"/>
          <w:lang w:eastAsia="es-MX"/>
        </w:rPr>
        <w:t xml:space="preserve"> de 2021</w:t>
      </w:r>
      <w:r w:rsidRPr="00CA34F5">
        <w:rPr>
          <w:rFonts w:ascii="Arial" w:eastAsia="Times New Roman" w:hAnsi="Arial" w:cs="Arial"/>
          <w:lang w:eastAsia="es-MX"/>
        </w:rPr>
        <w:t>.</w:t>
      </w:r>
    </w:p>
    <w:p w14:paraId="6DF63A99" w14:textId="77777777" w:rsidR="002806BF" w:rsidRPr="00CA34F5" w:rsidRDefault="002806BF" w:rsidP="000A4C31">
      <w:pPr>
        <w:numPr>
          <w:ilvl w:val="0"/>
          <w:numId w:val="4"/>
        </w:numPr>
        <w:spacing w:line="240" w:lineRule="auto"/>
        <w:jc w:val="both"/>
        <w:rPr>
          <w:rFonts w:ascii="Arial" w:eastAsia="Times New Roman" w:hAnsi="Arial" w:cs="Arial"/>
          <w:lang w:eastAsia="es-MX"/>
        </w:rPr>
      </w:pPr>
      <w:r w:rsidRPr="00CA34F5">
        <w:rPr>
          <w:rFonts w:ascii="Arial" w:eastAsia="Times New Roman" w:hAnsi="Arial" w:cs="Arial"/>
          <w:b/>
          <w:bCs/>
          <w:lang w:eastAsia="es-MX"/>
        </w:rPr>
        <w:t xml:space="preserve">Régimen Fiscal: </w:t>
      </w:r>
      <w:r w:rsidRPr="00CA34F5">
        <w:rPr>
          <w:rFonts w:ascii="Arial" w:eastAsia="Times New Roman" w:hAnsi="Arial" w:cs="Arial"/>
          <w:lang w:eastAsia="es-MX"/>
        </w:rPr>
        <w:t>El Gobierno del Estado de Tabasco, está constituido como persona moral sin fines de lucro.</w:t>
      </w:r>
    </w:p>
    <w:p w14:paraId="1A33039C" w14:textId="66583210" w:rsidR="002806BF" w:rsidRPr="00CA34F5" w:rsidRDefault="002806BF" w:rsidP="000A4C31">
      <w:pPr>
        <w:numPr>
          <w:ilvl w:val="0"/>
          <w:numId w:val="5"/>
        </w:numPr>
        <w:spacing w:line="240" w:lineRule="auto"/>
        <w:jc w:val="both"/>
        <w:rPr>
          <w:rFonts w:ascii="Arial" w:eastAsia="Times New Roman" w:hAnsi="Arial" w:cs="Arial"/>
          <w:lang w:eastAsia="es-MX"/>
        </w:rPr>
      </w:pPr>
      <w:r w:rsidRPr="00CA34F5">
        <w:rPr>
          <w:rFonts w:ascii="Arial" w:eastAsia="Times New Roman" w:hAnsi="Arial" w:cs="Arial"/>
          <w:b/>
          <w:bCs/>
          <w:lang w:eastAsia="es-MX"/>
        </w:rPr>
        <w:t>Consideraciones Fiscales</w:t>
      </w:r>
      <w:r w:rsidRPr="00CA34F5">
        <w:rPr>
          <w:rFonts w:ascii="Arial" w:eastAsia="Times New Roman" w:hAnsi="Arial" w:cs="Arial"/>
          <w:lang w:eastAsia="es-MX"/>
        </w:rPr>
        <w:t>: De conformidad con el quinto párrafo del artículo 86 de la Ley del Impuesto Sobre la Renta vigente, el Gobierno del Estado únicamente tiene la obligación de retener y enterar</w:t>
      </w:r>
      <w:r w:rsidR="00826EC7" w:rsidRPr="00CA34F5">
        <w:rPr>
          <w:rFonts w:ascii="Arial" w:eastAsia="Times New Roman" w:hAnsi="Arial" w:cs="Arial"/>
          <w:lang w:eastAsia="es-MX"/>
        </w:rPr>
        <w:t xml:space="preserve"> dicho impuesto (ISR) y exigir </w:t>
      </w:r>
      <w:r w:rsidR="004F2E00" w:rsidRPr="00CA34F5">
        <w:rPr>
          <w:rFonts w:ascii="Arial" w:eastAsia="Times New Roman" w:hAnsi="Arial" w:cs="Arial"/>
          <w:lang w:eastAsia="es-MX"/>
        </w:rPr>
        <w:t xml:space="preserve">comprobantes </w:t>
      </w:r>
      <w:r w:rsidRPr="00CA34F5">
        <w:rPr>
          <w:rFonts w:ascii="Arial" w:eastAsia="Times New Roman" w:hAnsi="Arial" w:cs="Arial"/>
          <w:lang w:eastAsia="es-MX"/>
        </w:rPr>
        <w:t>fiscales cuando se hagan pagos a terce</w:t>
      </w:r>
      <w:r w:rsidR="00826EC7" w:rsidRPr="00CA34F5">
        <w:rPr>
          <w:rFonts w:ascii="Arial" w:eastAsia="Times New Roman" w:hAnsi="Arial" w:cs="Arial"/>
          <w:lang w:eastAsia="es-MX"/>
        </w:rPr>
        <w:t>ros y estén obligados a ello en</w:t>
      </w:r>
      <w:r w:rsidRPr="00CA34F5">
        <w:rPr>
          <w:rFonts w:ascii="Arial" w:eastAsia="Times New Roman" w:hAnsi="Arial" w:cs="Arial"/>
          <w:lang w:eastAsia="es-MX"/>
        </w:rPr>
        <w:t xml:space="preserve"> términos de Ley.</w:t>
      </w:r>
    </w:p>
    <w:p w14:paraId="321E2D19" w14:textId="73C9EFDE" w:rsidR="002806BF" w:rsidRPr="00CA34F5" w:rsidRDefault="002806BF" w:rsidP="000A4C31">
      <w:pPr>
        <w:pStyle w:val="Prrafodelista"/>
        <w:numPr>
          <w:ilvl w:val="0"/>
          <w:numId w:val="6"/>
        </w:numPr>
        <w:spacing w:line="240" w:lineRule="auto"/>
        <w:jc w:val="both"/>
        <w:rPr>
          <w:rFonts w:ascii="Arial" w:eastAsia="Times New Roman" w:hAnsi="Arial" w:cs="Arial"/>
          <w:lang w:eastAsia="es-MX"/>
        </w:rPr>
      </w:pPr>
      <w:r w:rsidRPr="00CA34F5">
        <w:rPr>
          <w:rFonts w:ascii="Arial" w:eastAsia="Times New Roman" w:hAnsi="Arial" w:cs="Arial"/>
          <w:b/>
          <w:bCs/>
          <w:lang w:eastAsia="es-MX"/>
        </w:rPr>
        <w:t xml:space="preserve">Estructura Organizacional Básica: </w:t>
      </w:r>
      <w:r w:rsidRPr="00CA34F5">
        <w:rPr>
          <w:rFonts w:ascii="Arial" w:eastAsia="Times New Roman" w:hAnsi="Arial" w:cs="Arial"/>
          <w:lang w:eastAsia="es-MX"/>
        </w:rPr>
        <w:t>Conforme a la Constitución Política del Estado Libre y Soberano de Tabasco y la Ley Orgánica del Poder Ejecutivo del Estado, la administración pública se clasifica en centralizada y paraestatal. La Gubernatura, las Secretarías y la Coordinación General de Asuntos Jurídicos, integran la Administración Pública Centralizada y podrán contar además con órganos administrativos desconcentrados, dotados de autonomía técnica y funcional. Por otra parte, los organismos descentralizados, empresas de participación estatal mayoritaria y fideicomisos, forman la administración pública paraestatal y gozan de autonomía de gestión para el cabal cumplimiento de los objetivos y metas señalados en los programas. El Estado de Tabasco en su organización política y administrativa se integra de 17 municipios.</w:t>
      </w:r>
    </w:p>
    <w:p w14:paraId="4AB4DF1D" w14:textId="2DA26221" w:rsidR="002806BF" w:rsidRPr="00CA34F5" w:rsidRDefault="002806BF" w:rsidP="000A4C31">
      <w:pPr>
        <w:numPr>
          <w:ilvl w:val="0"/>
          <w:numId w:val="6"/>
        </w:numPr>
        <w:spacing w:after="0" w:line="240" w:lineRule="auto"/>
        <w:jc w:val="both"/>
        <w:rPr>
          <w:rFonts w:ascii="Arial" w:hAnsi="Arial" w:cs="Arial"/>
        </w:rPr>
      </w:pPr>
      <w:r w:rsidRPr="00CA34F5">
        <w:rPr>
          <w:rFonts w:ascii="Arial" w:eastAsia="Times New Roman" w:hAnsi="Arial" w:cs="Arial"/>
          <w:b/>
          <w:bCs/>
          <w:lang w:eastAsia="es-MX"/>
        </w:rPr>
        <w:t xml:space="preserve">Fideicomisos, mandatos y análogos de los cuales es fideicomitente o fideicomisario: </w:t>
      </w:r>
      <w:r w:rsidRPr="00CA34F5">
        <w:rPr>
          <w:rFonts w:ascii="Arial" w:eastAsia="Times New Roman" w:hAnsi="Arial" w:cs="Arial"/>
          <w:lang w:eastAsia="es-MX"/>
        </w:rPr>
        <w:t>El Gobierno del Estado de</w:t>
      </w:r>
      <w:r w:rsidR="009D62CF" w:rsidRPr="00CA34F5">
        <w:rPr>
          <w:rFonts w:ascii="Arial" w:eastAsia="Times New Roman" w:hAnsi="Arial" w:cs="Arial"/>
          <w:lang w:eastAsia="es-MX"/>
        </w:rPr>
        <w:t xml:space="preserve"> Tabasco es Fideicomitente </w:t>
      </w:r>
      <w:r w:rsidR="009D2D6A" w:rsidRPr="00CA34F5">
        <w:rPr>
          <w:rFonts w:ascii="Arial" w:eastAsia="Times New Roman" w:hAnsi="Arial" w:cs="Arial"/>
          <w:lang w:eastAsia="es-MX"/>
        </w:rPr>
        <w:t xml:space="preserve">o participa con recursos financieros </w:t>
      </w:r>
      <w:r w:rsidR="009D62CF" w:rsidRPr="00CA34F5">
        <w:rPr>
          <w:rFonts w:ascii="Arial" w:eastAsia="Times New Roman" w:hAnsi="Arial" w:cs="Arial"/>
          <w:lang w:eastAsia="es-MX"/>
        </w:rPr>
        <w:t>en</w:t>
      </w:r>
      <w:r w:rsidRPr="00CA34F5">
        <w:rPr>
          <w:rFonts w:ascii="Arial" w:eastAsia="Times New Roman" w:hAnsi="Arial" w:cs="Arial"/>
          <w:lang w:eastAsia="es-MX"/>
        </w:rPr>
        <w:t> </w:t>
      </w:r>
      <w:r w:rsidR="004F2E00" w:rsidRPr="00CA34F5">
        <w:rPr>
          <w:rFonts w:ascii="Arial" w:eastAsia="Times New Roman" w:hAnsi="Arial" w:cs="Arial"/>
          <w:lang w:eastAsia="es-MX"/>
        </w:rPr>
        <w:t xml:space="preserve">los </w:t>
      </w:r>
      <w:r w:rsidRPr="00CA34F5">
        <w:rPr>
          <w:rFonts w:ascii="Arial" w:eastAsia="Times New Roman" w:hAnsi="Arial" w:cs="Arial"/>
          <w:lang w:eastAsia="es-MX"/>
        </w:rPr>
        <w:t>fideicomisos que se describen en el punto 9 de las presentes Notas de gestión administrativa.</w:t>
      </w:r>
    </w:p>
    <w:p w14:paraId="347A2681" w14:textId="77777777" w:rsidR="00012C8B" w:rsidRPr="00CA34F5" w:rsidRDefault="00012C8B" w:rsidP="009B6C62">
      <w:pPr>
        <w:spacing w:after="0" w:line="240" w:lineRule="auto"/>
        <w:ind w:left="360"/>
        <w:jc w:val="both"/>
        <w:rPr>
          <w:rFonts w:ascii="Arial" w:hAnsi="Arial" w:cs="Arial"/>
        </w:rPr>
      </w:pPr>
    </w:p>
    <w:p w14:paraId="66BC8CB8" w14:textId="7EA00859" w:rsidR="002806BF" w:rsidRPr="00CA34F5" w:rsidRDefault="002806BF" w:rsidP="000A4C31">
      <w:pPr>
        <w:pStyle w:val="Prrafodelista"/>
        <w:numPr>
          <w:ilvl w:val="0"/>
          <w:numId w:val="12"/>
        </w:numPr>
        <w:spacing w:after="0" w:line="240" w:lineRule="auto"/>
        <w:ind w:left="426"/>
        <w:jc w:val="both"/>
        <w:rPr>
          <w:rFonts w:ascii="Arial" w:hAnsi="Arial" w:cs="Arial"/>
          <w:b/>
        </w:rPr>
      </w:pPr>
      <w:r w:rsidRPr="00CA34F5">
        <w:rPr>
          <w:rFonts w:ascii="Arial" w:hAnsi="Arial" w:cs="Arial"/>
          <w:b/>
        </w:rPr>
        <w:t>Bases de Preparación de los Estados Financieros</w:t>
      </w:r>
    </w:p>
    <w:p w14:paraId="429A1163" w14:textId="2595AD9A" w:rsidR="00B4545C" w:rsidRPr="00CA34F5" w:rsidRDefault="004F2E00" w:rsidP="004F2E00">
      <w:pPr>
        <w:spacing w:line="240" w:lineRule="auto"/>
        <w:jc w:val="both"/>
        <w:rPr>
          <w:rFonts w:ascii="Arial" w:eastAsia="Times New Roman" w:hAnsi="Arial" w:cs="Arial"/>
          <w:lang w:eastAsia="es-MX"/>
        </w:rPr>
      </w:pPr>
      <w:r w:rsidRPr="00CA34F5">
        <w:rPr>
          <w:rFonts w:ascii="Arial" w:eastAsia="Times New Roman" w:hAnsi="Arial" w:cs="Arial"/>
          <w:lang w:eastAsia="es-MX"/>
        </w:rPr>
        <w:t xml:space="preserve">                     </w:t>
      </w:r>
    </w:p>
    <w:p w14:paraId="4E3245FB" w14:textId="7B0ECB73" w:rsidR="002806BF" w:rsidRPr="00CA34F5" w:rsidRDefault="002806BF" w:rsidP="004F2E00">
      <w:pPr>
        <w:pStyle w:val="Prrafodelista"/>
        <w:numPr>
          <w:ilvl w:val="0"/>
          <w:numId w:val="8"/>
        </w:numPr>
        <w:spacing w:line="240" w:lineRule="auto"/>
        <w:jc w:val="both"/>
        <w:rPr>
          <w:rFonts w:ascii="Arial" w:eastAsia="Times New Roman" w:hAnsi="Arial" w:cs="Arial"/>
          <w:lang w:eastAsia="es-MX"/>
        </w:rPr>
      </w:pPr>
      <w:r w:rsidRPr="00CA34F5">
        <w:rPr>
          <w:rFonts w:ascii="Arial" w:eastAsia="Times New Roman" w:hAnsi="Arial" w:cs="Arial"/>
          <w:lang w:eastAsia="es-MX"/>
        </w:rPr>
        <w:t>Son las establecidas en la Ley General de Contabilidad Gubernamental, publicada en el Diario Oficial de la Federación el 31 de diciembre de 2008; de observancia obligatoria en los niveles de gobierno federal, estatal y municipal y en todas sus instancias y organismos; así como en la normatividad vigente emitida por el Consejo Nacional de Armonización Contable (CONAC).</w:t>
      </w:r>
    </w:p>
    <w:p w14:paraId="79B39701" w14:textId="77777777" w:rsidR="002806BF" w:rsidRPr="00CA34F5" w:rsidRDefault="002806BF" w:rsidP="000A4C31">
      <w:pPr>
        <w:numPr>
          <w:ilvl w:val="0"/>
          <w:numId w:val="8"/>
        </w:numPr>
        <w:spacing w:after="0" w:line="240" w:lineRule="auto"/>
        <w:jc w:val="both"/>
        <w:rPr>
          <w:rFonts w:ascii="Arial" w:eastAsia="Times New Roman" w:hAnsi="Arial" w:cs="Arial"/>
          <w:lang w:eastAsia="es-MX"/>
        </w:rPr>
      </w:pPr>
      <w:r w:rsidRPr="00CA34F5">
        <w:rPr>
          <w:rFonts w:ascii="Arial" w:eastAsia="Times New Roman" w:hAnsi="Arial" w:cs="Arial"/>
          <w:lang w:eastAsia="es-MX"/>
        </w:rPr>
        <w:t>Se cumplen además, la Ley de Disciplina Financiera de las Entidades Federativas y los Municipios, publicada en el Diario Oficial de la Federación el 27 de abril del 2016 y los Criterios para la elaboración y presentación homogénea de la información financiera y de los formatos a que hace referencia la misma Ley, emitidos por el Consejo Nacional de Armonización Contable y publicados en el Diario Oficial de la Federación el 11 de octubre del 2016.</w:t>
      </w:r>
    </w:p>
    <w:p w14:paraId="79B505FC" w14:textId="77777777" w:rsidR="002806BF" w:rsidRPr="00CA34F5" w:rsidRDefault="002806BF" w:rsidP="000A4C31">
      <w:pPr>
        <w:numPr>
          <w:ilvl w:val="0"/>
          <w:numId w:val="9"/>
        </w:numPr>
        <w:spacing w:after="0" w:line="240" w:lineRule="auto"/>
        <w:jc w:val="both"/>
        <w:rPr>
          <w:rFonts w:ascii="Arial" w:eastAsia="Times New Roman" w:hAnsi="Arial" w:cs="Arial"/>
          <w:lang w:eastAsia="es-MX"/>
        </w:rPr>
      </w:pPr>
      <w:r w:rsidRPr="00CA34F5">
        <w:rPr>
          <w:rFonts w:ascii="Arial" w:eastAsia="Times New Roman" w:hAnsi="Arial" w:cs="Arial"/>
          <w:lang w:eastAsia="es-MX"/>
        </w:rPr>
        <w:t xml:space="preserve">La información financiera, presupuestal y contable que emana de la contabilidad gubernamental, es integrada por la Secretaría de Finanzas de acuerdo con la Ley Orgánica del Poder Ejecutivo del Estado de Tabasco. Los estados financieros </w:t>
      </w:r>
      <w:r w:rsidRPr="00CA34F5">
        <w:rPr>
          <w:rFonts w:ascii="Arial" w:eastAsia="Times New Roman" w:hAnsi="Arial" w:cs="Arial"/>
          <w:lang w:eastAsia="es-MX"/>
        </w:rPr>
        <w:lastRenderedPageBreak/>
        <w:t>y estas notas que les corresponden, incluyen las transferencias y subsidios a los órganos desconcentrados y organismos descentralizados del Estado y a las empresas de participación estatal mayoritaria.</w:t>
      </w:r>
    </w:p>
    <w:p w14:paraId="788E37F7" w14:textId="77777777" w:rsidR="00012C8B" w:rsidRPr="00CA34F5" w:rsidRDefault="00012C8B" w:rsidP="000A4C31">
      <w:pPr>
        <w:spacing w:after="0" w:line="240" w:lineRule="auto"/>
        <w:ind w:left="720"/>
        <w:jc w:val="both"/>
        <w:rPr>
          <w:rFonts w:ascii="Arial" w:eastAsia="Times New Roman" w:hAnsi="Arial" w:cs="Arial"/>
          <w:lang w:eastAsia="es-MX"/>
        </w:rPr>
      </w:pPr>
    </w:p>
    <w:p w14:paraId="30B381B8" w14:textId="77777777" w:rsidR="002806BF" w:rsidRPr="00CA34F5" w:rsidRDefault="002806BF" w:rsidP="000A4C31">
      <w:pPr>
        <w:spacing w:after="0" w:line="240" w:lineRule="auto"/>
        <w:ind w:left="720"/>
        <w:jc w:val="both"/>
        <w:rPr>
          <w:rFonts w:ascii="Arial" w:eastAsia="Times New Roman" w:hAnsi="Arial" w:cs="Arial"/>
          <w:lang w:eastAsia="es-MX"/>
        </w:rPr>
      </w:pPr>
    </w:p>
    <w:p w14:paraId="71843C31" w14:textId="2F430446" w:rsidR="002806BF" w:rsidRPr="00CA34F5" w:rsidRDefault="002806BF" w:rsidP="000A4C31">
      <w:pPr>
        <w:spacing w:after="0" w:line="240" w:lineRule="auto"/>
        <w:jc w:val="both"/>
        <w:rPr>
          <w:rFonts w:ascii="Arial" w:eastAsia="Times New Roman" w:hAnsi="Arial" w:cs="Arial"/>
          <w:lang w:eastAsia="es-MX"/>
        </w:rPr>
      </w:pPr>
      <w:r w:rsidRPr="00CA34F5">
        <w:rPr>
          <w:rFonts w:ascii="Arial" w:eastAsia="Times New Roman" w:hAnsi="Arial" w:cs="Arial"/>
          <w:lang w:eastAsia="es-MX"/>
        </w:rPr>
        <w:t>Los estados financieros son preparados sobre la base del costo histórico</w:t>
      </w:r>
      <w:r w:rsidR="005076EE" w:rsidRPr="00CA34F5">
        <w:rPr>
          <w:rFonts w:ascii="Arial" w:eastAsia="Times New Roman" w:hAnsi="Arial" w:cs="Arial"/>
          <w:lang w:eastAsia="es-MX"/>
        </w:rPr>
        <w:t>,</w:t>
      </w:r>
      <w:r w:rsidR="000E5930" w:rsidRPr="00CA34F5">
        <w:rPr>
          <w:rFonts w:ascii="Arial" w:eastAsia="Times New Roman" w:hAnsi="Arial" w:cs="Arial"/>
          <w:lang w:eastAsia="es-MX"/>
        </w:rPr>
        <w:t xml:space="preserve"> sin reconocer</w:t>
      </w:r>
      <w:r w:rsidRPr="00CA34F5">
        <w:rPr>
          <w:rFonts w:ascii="Arial" w:eastAsia="Times New Roman" w:hAnsi="Arial" w:cs="Arial"/>
          <w:lang w:eastAsia="es-MX"/>
        </w:rPr>
        <w:t xml:space="preserve"> los efectos de la inflación</w:t>
      </w:r>
      <w:r w:rsidR="000E5930" w:rsidRPr="00CA34F5">
        <w:rPr>
          <w:rFonts w:ascii="Arial" w:eastAsia="Times New Roman" w:hAnsi="Arial" w:cs="Arial"/>
          <w:lang w:eastAsia="es-MX"/>
        </w:rPr>
        <w:t xml:space="preserve">, de acuerdo al punto 14 de las Reglas Específicas del Registro y Validación del Patrimonio, emitidas por el Consejo Nacional de Armonización </w:t>
      </w:r>
      <w:proofErr w:type="spellStart"/>
      <w:r w:rsidR="000E5930" w:rsidRPr="00CA34F5">
        <w:rPr>
          <w:rFonts w:ascii="Arial" w:eastAsia="Times New Roman" w:hAnsi="Arial" w:cs="Arial"/>
          <w:lang w:eastAsia="es-MX"/>
        </w:rPr>
        <w:t>Contablle</w:t>
      </w:r>
      <w:proofErr w:type="spellEnd"/>
      <w:r w:rsidR="000E5930" w:rsidRPr="00CA34F5">
        <w:rPr>
          <w:rFonts w:ascii="Arial" w:eastAsia="Times New Roman" w:hAnsi="Arial" w:cs="Arial"/>
          <w:lang w:eastAsia="es-MX"/>
        </w:rPr>
        <w:t>.</w:t>
      </w:r>
      <w:r w:rsidRPr="00CA34F5">
        <w:rPr>
          <w:rFonts w:ascii="Arial" w:eastAsia="Times New Roman" w:hAnsi="Arial" w:cs="Arial"/>
          <w:lang w:eastAsia="es-MX"/>
        </w:rPr>
        <w:t xml:space="preserve"> De conformidad con la Ley General de Contabilidad Gubernamental y acuerdos del Consejo Nacional de Armonización Contable, el Gobierno del Estado de Tabasco está obligado a presentar información contable, presupuestal, programática así como información adicional relativa a programas y proyectos de inversión, indicadores de resultados, relación de esquemas bursátiles, bienes muebles e inmuebles, cuentas bancarias productivas específicas y en su caso, Información adicional que dispongan otras leyes.</w:t>
      </w:r>
    </w:p>
    <w:p w14:paraId="4D23FC2D" w14:textId="77777777" w:rsidR="00012C8B" w:rsidRPr="00CA34F5" w:rsidRDefault="00012C8B" w:rsidP="000A4C31">
      <w:pPr>
        <w:spacing w:after="0" w:line="240" w:lineRule="auto"/>
        <w:jc w:val="both"/>
        <w:rPr>
          <w:rFonts w:ascii="Arial" w:eastAsia="Times New Roman" w:hAnsi="Arial" w:cs="Arial"/>
          <w:lang w:eastAsia="es-MX"/>
        </w:rPr>
      </w:pPr>
    </w:p>
    <w:p w14:paraId="7C2725F4" w14:textId="77777777" w:rsidR="002806BF" w:rsidRPr="00CA34F5" w:rsidRDefault="002806BF" w:rsidP="000A4C31">
      <w:pPr>
        <w:spacing w:after="0" w:line="240" w:lineRule="auto"/>
        <w:jc w:val="both"/>
        <w:rPr>
          <w:rFonts w:ascii="Arial" w:eastAsia="Times New Roman" w:hAnsi="Arial" w:cs="Arial"/>
          <w:lang w:eastAsia="es-MX"/>
        </w:rPr>
      </w:pPr>
      <w:r w:rsidRPr="00CA34F5">
        <w:rPr>
          <w:rFonts w:ascii="Arial" w:eastAsia="Times New Roman" w:hAnsi="Arial" w:cs="Arial"/>
          <w:lang w:eastAsia="es-MX"/>
        </w:rPr>
        <w:t>La información contable, presupuestal y programática fue generada en tres sistemas que emiten información financiera y presupuestal, integrándose como sigue:</w:t>
      </w:r>
    </w:p>
    <w:p w14:paraId="04E7FF73" w14:textId="77777777" w:rsidR="002806BF" w:rsidRPr="00CA34F5" w:rsidRDefault="002806BF" w:rsidP="000A4C31">
      <w:pPr>
        <w:spacing w:after="0" w:line="240" w:lineRule="auto"/>
        <w:jc w:val="both"/>
        <w:rPr>
          <w:rFonts w:ascii="Arial" w:eastAsia="Times New Roman" w:hAnsi="Arial" w:cs="Arial"/>
          <w:lang w:eastAsia="es-MX"/>
        </w:rPr>
      </w:pPr>
    </w:p>
    <w:p w14:paraId="533F9134" w14:textId="77777777" w:rsidR="002806BF" w:rsidRPr="00CA34F5" w:rsidRDefault="002806BF" w:rsidP="000A4C31">
      <w:pPr>
        <w:numPr>
          <w:ilvl w:val="0"/>
          <w:numId w:val="13"/>
        </w:numPr>
        <w:spacing w:after="0" w:line="240" w:lineRule="auto"/>
        <w:ind w:left="567"/>
        <w:contextualSpacing/>
        <w:jc w:val="both"/>
        <w:rPr>
          <w:rFonts w:ascii="Arial" w:eastAsia="DIN Next LT Pro Condensed" w:hAnsi="Arial" w:cs="Arial"/>
          <w:b/>
        </w:rPr>
      </w:pPr>
      <w:r w:rsidRPr="00CA34F5">
        <w:rPr>
          <w:rFonts w:ascii="Arial" w:eastAsia="DIN Next LT Pro Condensed" w:hAnsi="Arial" w:cs="Arial"/>
          <w:b/>
        </w:rPr>
        <w:t>Sistema</w:t>
      </w:r>
      <w:r w:rsidRPr="00CA34F5">
        <w:rPr>
          <w:rFonts w:ascii="Arial" w:eastAsia="DIN Next LT Pro Condensed" w:hAnsi="Arial" w:cs="Arial"/>
          <w:b/>
          <w:spacing w:val="12"/>
        </w:rPr>
        <w:t xml:space="preserve"> </w:t>
      </w:r>
      <w:r w:rsidRPr="00CA34F5">
        <w:rPr>
          <w:rFonts w:ascii="Arial" w:eastAsia="DIN Next LT Pro Condensed" w:hAnsi="Arial" w:cs="Arial"/>
          <w:b/>
        </w:rPr>
        <w:t>de</w:t>
      </w:r>
      <w:r w:rsidRPr="00CA34F5">
        <w:rPr>
          <w:rFonts w:ascii="Arial" w:eastAsia="DIN Next LT Pro Condensed" w:hAnsi="Arial" w:cs="Arial"/>
          <w:b/>
          <w:spacing w:val="4"/>
        </w:rPr>
        <w:t xml:space="preserve"> </w:t>
      </w:r>
      <w:r w:rsidRPr="00CA34F5">
        <w:rPr>
          <w:rFonts w:ascii="Arial" w:eastAsia="DIN Next LT Pro Condensed" w:hAnsi="Arial" w:cs="Arial"/>
          <w:b/>
        </w:rPr>
        <w:t>Recaudador</w:t>
      </w:r>
    </w:p>
    <w:p w14:paraId="48B25B18" w14:textId="77777777" w:rsidR="002806BF" w:rsidRPr="00CA34F5" w:rsidRDefault="002806BF" w:rsidP="000A4C31">
      <w:pPr>
        <w:numPr>
          <w:ilvl w:val="0"/>
          <w:numId w:val="13"/>
        </w:numPr>
        <w:spacing w:after="0" w:line="240" w:lineRule="auto"/>
        <w:ind w:left="567"/>
        <w:contextualSpacing/>
        <w:jc w:val="both"/>
        <w:rPr>
          <w:rFonts w:ascii="Arial" w:eastAsia="DIN Next LT Pro Condensed" w:hAnsi="Arial" w:cs="Arial"/>
          <w:b/>
        </w:rPr>
      </w:pPr>
      <w:r w:rsidRPr="00CA34F5">
        <w:rPr>
          <w:rFonts w:ascii="Arial" w:eastAsia="DIN Next LT Pro Condensed" w:hAnsi="Arial" w:cs="Arial"/>
          <w:b/>
        </w:rPr>
        <w:t>Sistemas</w:t>
      </w:r>
      <w:r w:rsidRPr="00CA34F5">
        <w:rPr>
          <w:rFonts w:ascii="Arial" w:eastAsia="DIN Next LT Pro Condensed" w:hAnsi="Arial" w:cs="Arial"/>
          <w:b/>
          <w:spacing w:val="13"/>
        </w:rPr>
        <w:t xml:space="preserve"> </w:t>
      </w:r>
      <w:r w:rsidRPr="00CA34F5">
        <w:rPr>
          <w:rFonts w:ascii="Arial" w:eastAsia="DIN Next LT Pro Condensed" w:hAnsi="Arial" w:cs="Arial"/>
          <w:b/>
        </w:rPr>
        <w:t>Open</w:t>
      </w:r>
      <w:r w:rsidRPr="00CA34F5">
        <w:rPr>
          <w:rFonts w:ascii="Arial" w:eastAsia="DIN Next LT Pro Condensed" w:hAnsi="Arial" w:cs="Arial"/>
          <w:b/>
          <w:spacing w:val="8"/>
        </w:rPr>
        <w:t xml:space="preserve"> </w:t>
      </w:r>
      <w:r w:rsidRPr="00CA34F5">
        <w:rPr>
          <w:rFonts w:ascii="Arial" w:eastAsia="DIN Next LT Pro Condensed" w:hAnsi="Arial" w:cs="Arial"/>
          <w:b/>
        </w:rPr>
        <w:t>HR</w:t>
      </w:r>
      <w:r w:rsidRPr="00CA34F5">
        <w:rPr>
          <w:rFonts w:ascii="Arial" w:eastAsia="DIN Next LT Pro Condensed" w:hAnsi="Arial" w:cs="Arial"/>
          <w:b/>
          <w:spacing w:val="5"/>
        </w:rPr>
        <w:t xml:space="preserve"> </w:t>
      </w:r>
      <w:r w:rsidRPr="00CA34F5">
        <w:rPr>
          <w:rFonts w:ascii="Arial" w:eastAsia="DIN Next LT Pro Condensed" w:hAnsi="Arial" w:cs="Arial"/>
          <w:b/>
        </w:rPr>
        <w:t>el</w:t>
      </w:r>
      <w:r w:rsidRPr="00CA34F5">
        <w:rPr>
          <w:rFonts w:ascii="Arial" w:eastAsia="DIN Next LT Pro Condensed" w:hAnsi="Arial" w:cs="Arial"/>
          <w:b/>
          <w:spacing w:val="3"/>
        </w:rPr>
        <w:t xml:space="preserve"> </w:t>
      </w:r>
      <w:r w:rsidRPr="00CA34F5">
        <w:rPr>
          <w:rFonts w:ascii="Arial" w:eastAsia="DIN Next LT Pro Condensed" w:hAnsi="Arial" w:cs="Arial"/>
          <w:b/>
        </w:rPr>
        <w:t>cual</w:t>
      </w:r>
      <w:r w:rsidRPr="00CA34F5">
        <w:rPr>
          <w:rFonts w:ascii="Arial" w:eastAsia="DIN Next LT Pro Condensed" w:hAnsi="Arial" w:cs="Arial"/>
          <w:b/>
          <w:spacing w:val="7"/>
        </w:rPr>
        <w:t xml:space="preserve"> </w:t>
      </w:r>
      <w:r w:rsidRPr="00CA34F5">
        <w:rPr>
          <w:rFonts w:ascii="Arial" w:eastAsia="DIN Next LT Pro Condensed" w:hAnsi="Arial" w:cs="Arial"/>
          <w:b/>
        </w:rPr>
        <w:t>sirve</w:t>
      </w:r>
      <w:r w:rsidRPr="00CA34F5">
        <w:rPr>
          <w:rFonts w:ascii="Arial" w:eastAsia="DIN Next LT Pro Condensed" w:hAnsi="Arial" w:cs="Arial"/>
          <w:b/>
          <w:spacing w:val="7"/>
        </w:rPr>
        <w:t xml:space="preserve"> </w:t>
      </w:r>
      <w:r w:rsidRPr="00CA34F5">
        <w:rPr>
          <w:rFonts w:ascii="Arial" w:eastAsia="DIN Next LT Pro Condensed" w:hAnsi="Arial" w:cs="Arial"/>
          <w:b/>
        </w:rPr>
        <w:t>para</w:t>
      </w:r>
      <w:r w:rsidRPr="00CA34F5">
        <w:rPr>
          <w:rFonts w:ascii="Arial" w:eastAsia="DIN Next LT Pro Condensed" w:hAnsi="Arial" w:cs="Arial"/>
          <w:b/>
          <w:spacing w:val="7"/>
        </w:rPr>
        <w:t xml:space="preserve"> </w:t>
      </w:r>
      <w:r w:rsidRPr="00CA34F5">
        <w:rPr>
          <w:rFonts w:ascii="Arial" w:eastAsia="DIN Next LT Pro Condensed" w:hAnsi="Arial" w:cs="Arial"/>
          <w:b/>
        </w:rPr>
        <w:t>la</w:t>
      </w:r>
      <w:r w:rsidRPr="00CA34F5">
        <w:rPr>
          <w:rFonts w:ascii="Arial" w:eastAsia="DIN Next LT Pro Condensed" w:hAnsi="Arial" w:cs="Arial"/>
          <w:b/>
          <w:spacing w:val="3"/>
        </w:rPr>
        <w:t xml:space="preserve"> </w:t>
      </w:r>
      <w:r w:rsidRPr="00CA34F5">
        <w:rPr>
          <w:rFonts w:ascii="Arial" w:eastAsia="DIN Next LT Pro Condensed" w:hAnsi="Arial" w:cs="Arial"/>
          <w:b/>
        </w:rPr>
        <w:t>elaboración</w:t>
      </w:r>
      <w:r w:rsidRPr="00CA34F5">
        <w:rPr>
          <w:rFonts w:ascii="Arial" w:eastAsia="DIN Next LT Pro Condensed" w:hAnsi="Arial" w:cs="Arial"/>
          <w:b/>
          <w:spacing w:val="16"/>
        </w:rPr>
        <w:t xml:space="preserve"> </w:t>
      </w:r>
      <w:r w:rsidRPr="00CA34F5">
        <w:rPr>
          <w:rFonts w:ascii="Arial" w:eastAsia="DIN Next LT Pro Condensed" w:hAnsi="Arial" w:cs="Arial"/>
          <w:b/>
        </w:rPr>
        <w:t>de</w:t>
      </w:r>
      <w:r w:rsidRPr="00CA34F5">
        <w:rPr>
          <w:rFonts w:ascii="Arial" w:eastAsia="DIN Next LT Pro Condensed" w:hAnsi="Arial" w:cs="Arial"/>
          <w:b/>
          <w:spacing w:val="4"/>
        </w:rPr>
        <w:t xml:space="preserve"> </w:t>
      </w:r>
      <w:r w:rsidRPr="00CA34F5">
        <w:rPr>
          <w:rFonts w:ascii="Arial" w:eastAsia="DIN Next LT Pro Condensed" w:hAnsi="Arial" w:cs="Arial"/>
          <w:b/>
        </w:rPr>
        <w:t>la</w:t>
      </w:r>
      <w:r w:rsidRPr="00CA34F5">
        <w:rPr>
          <w:rFonts w:ascii="Arial" w:eastAsia="DIN Next LT Pro Condensed" w:hAnsi="Arial" w:cs="Arial"/>
          <w:b/>
          <w:spacing w:val="3"/>
        </w:rPr>
        <w:t xml:space="preserve"> </w:t>
      </w:r>
      <w:r w:rsidRPr="00CA34F5">
        <w:rPr>
          <w:rFonts w:ascii="Arial" w:eastAsia="DIN Next LT Pro Condensed" w:hAnsi="Arial" w:cs="Arial"/>
          <w:b/>
        </w:rPr>
        <w:t>nómina,</w:t>
      </w:r>
      <w:r w:rsidRPr="00CA34F5">
        <w:rPr>
          <w:rFonts w:ascii="Arial" w:eastAsia="DIN Next LT Pro Condensed" w:hAnsi="Arial" w:cs="Arial"/>
          <w:b/>
          <w:spacing w:val="11"/>
        </w:rPr>
        <w:t xml:space="preserve"> </w:t>
      </w:r>
      <w:r w:rsidRPr="00CA34F5">
        <w:rPr>
          <w:rFonts w:ascii="Arial" w:eastAsia="DIN Next LT Pro Condensed" w:hAnsi="Arial" w:cs="Arial"/>
          <w:b/>
          <w:w w:val="102"/>
        </w:rPr>
        <w:t>y</w:t>
      </w:r>
    </w:p>
    <w:p w14:paraId="7D5D9470" w14:textId="24E98B34" w:rsidR="002806BF" w:rsidRPr="00CA34F5" w:rsidRDefault="002806BF" w:rsidP="000A4C31">
      <w:pPr>
        <w:numPr>
          <w:ilvl w:val="0"/>
          <w:numId w:val="13"/>
        </w:numPr>
        <w:spacing w:after="0" w:line="240" w:lineRule="auto"/>
        <w:ind w:left="567"/>
        <w:contextualSpacing/>
        <w:jc w:val="both"/>
        <w:rPr>
          <w:rFonts w:ascii="Arial" w:eastAsia="Times New Roman" w:hAnsi="Arial" w:cs="Arial"/>
          <w:b/>
          <w:lang w:eastAsia="es-MX"/>
        </w:rPr>
      </w:pPr>
      <w:r w:rsidRPr="00CA34F5">
        <w:rPr>
          <w:rFonts w:ascii="Arial" w:eastAsia="DIN Next LT Pro Condensed" w:hAnsi="Arial" w:cs="Arial"/>
          <w:b/>
        </w:rPr>
        <w:t>Sistema</w:t>
      </w:r>
      <w:r w:rsidRPr="00CA34F5">
        <w:rPr>
          <w:rFonts w:ascii="Arial" w:eastAsia="DIN Next LT Pro Condensed" w:hAnsi="Arial" w:cs="Arial"/>
          <w:b/>
          <w:spacing w:val="12"/>
        </w:rPr>
        <w:t xml:space="preserve"> </w:t>
      </w:r>
      <w:r w:rsidRPr="00CA34F5">
        <w:rPr>
          <w:rFonts w:ascii="Arial" w:eastAsia="DIN Next LT Pro Condensed" w:hAnsi="Arial" w:cs="Arial"/>
          <w:b/>
        </w:rPr>
        <w:t>Oracle E-Busines</w:t>
      </w:r>
      <w:r w:rsidR="00BE7C70" w:rsidRPr="00CA34F5">
        <w:rPr>
          <w:rFonts w:ascii="Arial" w:eastAsia="DIN Next LT Pro Condensed" w:hAnsi="Arial" w:cs="Arial"/>
          <w:b/>
        </w:rPr>
        <w:t>s</w:t>
      </w:r>
      <w:r w:rsidRPr="00CA34F5">
        <w:rPr>
          <w:rFonts w:ascii="Arial" w:eastAsia="DIN Next LT Pro Condensed" w:hAnsi="Arial" w:cs="Arial"/>
          <w:b/>
        </w:rPr>
        <w:t xml:space="preserve"> Suite</w:t>
      </w:r>
    </w:p>
    <w:p w14:paraId="472DCB1A" w14:textId="77777777" w:rsidR="008C69D1" w:rsidRPr="00CA34F5" w:rsidRDefault="008C69D1" w:rsidP="000A4C31">
      <w:pPr>
        <w:spacing w:after="0" w:line="240" w:lineRule="auto"/>
        <w:ind w:left="567"/>
        <w:contextualSpacing/>
        <w:jc w:val="both"/>
        <w:rPr>
          <w:rFonts w:ascii="Arial" w:eastAsia="Times New Roman" w:hAnsi="Arial" w:cs="Arial"/>
          <w:b/>
          <w:lang w:eastAsia="es-MX"/>
        </w:rPr>
      </w:pPr>
    </w:p>
    <w:p w14:paraId="37988B13" w14:textId="77777777" w:rsidR="00A740CD" w:rsidRPr="00CA34F5" w:rsidRDefault="00A740CD" w:rsidP="000A4C31">
      <w:pPr>
        <w:spacing w:after="0" w:line="240" w:lineRule="auto"/>
        <w:jc w:val="both"/>
        <w:rPr>
          <w:rFonts w:ascii="Arial" w:eastAsia="Times New Roman" w:hAnsi="Arial" w:cs="Arial"/>
          <w:b/>
          <w:lang w:eastAsia="es-MX"/>
        </w:rPr>
      </w:pPr>
    </w:p>
    <w:p w14:paraId="4EE71599" w14:textId="77777777" w:rsidR="002806BF" w:rsidRPr="00CA34F5" w:rsidRDefault="002806BF" w:rsidP="000A4C31">
      <w:pPr>
        <w:spacing w:after="0" w:line="240" w:lineRule="auto"/>
        <w:jc w:val="both"/>
        <w:rPr>
          <w:rFonts w:ascii="Arial" w:eastAsia="Times New Roman" w:hAnsi="Arial" w:cs="Arial"/>
          <w:b/>
          <w:lang w:eastAsia="es-MX"/>
        </w:rPr>
      </w:pPr>
      <w:r w:rsidRPr="00CA34F5">
        <w:rPr>
          <w:rFonts w:ascii="Arial" w:eastAsia="Times New Roman" w:hAnsi="Arial" w:cs="Arial"/>
          <w:b/>
          <w:lang w:eastAsia="es-MX"/>
        </w:rPr>
        <w:t>Bienes Inmuebles, Infraestructura y Construcciones en Proceso</w:t>
      </w:r>
    </w:p>
    <w:p w14:paraId="007F9E6F" w14:textId="4630D44E" w:rsidR="002806BF" w:rsidRPr="00CA34F5" w:rsidRDefault="002806BF" w:rsidP="000A4C31">
      <w:pPr>
        <w:spacing w:before="240" w:after="0" w:line="240" w:lineRule="auto"/>
        <w:jc w:val="both"/>
        <w:rPr>
          <w:rFonts w:ascii="Arial" w:eastAsia="Times New Roman" w:hAnsi="Arial" w:cs="Arial"/>
          <w:lang w:eastAsia="es-MX"/>
        </w:rPr>
      </w:pPr>
      <w:r w:rsidRPr="00CA34F5">
        <w:rPr>
          <w:rFonts w:ascii="Arial" w:eastAsia="Times New Roman" w:hAnsi="Arial" w:cs="Arial"/>
          <w:lang w:eastAsia="es-MX"/>
        </w:rPr>
        <w:t xml:space="preserve">Los terrenos y edificios se registran a su costo de adquisición, construcción o en el caso de terrenos adquiridos a título gratuito, al valor que indique la escritura correspondiente, que por lo general corresponde a su valor catastral y en su caso, por el importe revaluado por perito autorizado de acuerdo a los lineamientos establecidos por la </w:t>
      </w:r>
      <w:r w:rsidR="00687E29" w:rsidRPr="00CA34F5">
        <w:rPr>
          <w:rFonts w:ascii="Arial" w:eastAsia="Times New Roman" w:hAnsi="Arial" w:cs="Arial"/>
          <w:lang w:eastAsia="es-MX"/>
        </w:rPr>
        <w:t>Subd</w:t>
      </w:r>
      <w:r w:rsidRPr="00CA34F5">
        <w:rPr>
          <w:rFonts w:ascii="Arial" w:eastAsia="Times New Roman" w:hAnsi="Arial" w:cs="Arial"/>
          <w:lang w:eastAsia="es-MX"/>
        </w:rPr>
        <w:t>irección de Patrimonio, adscrita a la Secretaría de Administración e Innovación Gubernamental.</w:t>
      </w:r>
    </w:p>
    <w:p w14:paraId="3AEDC6D1" w14:textId="2FDA768D" w:rsidR="002806BF" w:rsidRPr="00CA34F5" w:rsidRDefault="002806BF" w:rsidP="000A4C31">
      <w:pPr>
        <w:spacing w:before="240" w:after="0" w:line="240" w:lineRule="auto"/>
        <w:jc w:val="both"/>
        <w:rPr>
          <w:rFonts w:ascii="Arial" w:eastAsia="Times New Roman" w:hAnsi="Arial" w:cs="Arial"/>
          <w:b/>
          <w:lang w:eastAsia="es-MX"/>
        </w:rPr>
      </w:pPr>
      <w:r w:rsidRPr="00CA34F5">
        <w:rPr>
          <w:rFonts w:ascii="Arial" w:eastAsia="Times New Roman" w:hAnsi="Arial" w:cs="Arial"/>
          <w:b/>
          <w:lang w:eastAsia="es-MX"/>
        </w:rPr>
        <w:t>Obras en Proceso</w:t>
      </w:r>
    </w:p>
    <w:p w14:paraId="0F85333A" w14:textId="3B69D573" w:rsidR="002806BF" w:rsidRPr="00CA34F5" w:rsidRDefault="00BC43CB" w:rsidP="000A4C31">
      <w:pPr>
        <w:spacing w:before="240" w:after="0" w:line="240" w:lineRule="auto"/>
        <w:jc w:val="both"/>
        <w:rPr>
          <w:rFonts w:ascii="Arial" w:eastAsia="Times New Roman" w:hAnsi="Arial" w:cs="Arial"/>
          <w:lang w:eastAsia="es-MX"/>
        </w:rPr>
      </w:pPr>
      <w:r w:rsidRPr="00CA34F5">
        <w:rPr>
          <w:rFonts w:ascii="Arial" w:eastAsia="Times New Roman" w:hAnsi="Arial" w:cs="Arial"/>
          <w:lang w:eastAsia="es-MX"/>
        </w:rPr>
        <w:t xml:space="preserve">Se registran a su costo y comprenden la construcción de los inmuebles que serán utilizados por alguna dependencia del Gobierno Estatal </w:t>
      </w:r>
      <w:r w:rsidR="000E5930" w:rsidRPr="00CA34F5">
        <w:rPr>
          <w:rFonts w:ascii="Arial" w:eastAsia="Times New Roman" w:hAnsi="Arial" w:cs="Arial"/>
          <w:lang w:eastAsia="es-MX"/>
        </w:rPr>
        <w:t xml:space="preserve">e </w:t>
      </w:r>
      <w:r w:rsidRPr="00CA34F5">
        <w:rPr>
          <w:rFonts w:ascii="Arial" w:eastAsia="Times New Roman" w:hAnsi="Arial" w:cs="Arial"/>
          <w:lang w:eastAsia="es-MX"/>
        </w:rPr>
        <w:t>infraestructura</w:t>
      </w:r>
      <w:r w:rsidR="000E5930" w:rsidRPr="00CA34F5">
        <w:rPr>
          <w:rFonts w:ascii="Arial" w:eastAsia="Times New Roman" w:hAnsi="Arial" w:cs="Arial"/>
          <w:lang w:eastAsia="es-MX"/>
        </w:rPr>
        <w:t xml:space="preserve">. </w:t>
      </w:r>
      <w:r w:rsidR="00F874FB" w:rsidRPr="00CA34F5">
        <w:rPr>
          <w:rFonts w:ascii="Arial" w:eastAsia="Times New Roman" w:hAnsi="Arial" w:cs="Arial"/>
          <w:lang w:eastAsia="es-MX"/>
        </w:rPr>
        <w:t>Las</w:t>
      </w:r>
      <w:r w:rsidRPr="00CA34F5">
        <w:rPr>
          <w:rFonts w:ascii="Arial" w:eastAsia="Times New Roman" w:hAnsi="Arial" w:cs="Arial"/>
          <w:lang w:eastAsia="es-MX"/>
        </w:rPr>
        <w:t xml:space="preserve"> del dominio público no se capitalizan como</w:t>
      </w:r>
      <w:r w:rsidR="000E5930" w:rsidRPr="00CA34F5">
        <w:rPr>
          <w:rFonts w:ascii="Arial" w:eastAsia="Times New Roman" w:hAnsi="Arial" w:cs="Arial"/>
          <w:lang w:eastAsia="es-MX"/>
        </w:rPr>
        <w:t xml:space="preserve"> parte de los bienes  inmuebles, se cargan a gastos, con el acta administrativa de cierre. </w:t>
      </w:r>
      <w:r w:rsidRPr="00CA34F5">
        <w:rPr>
          <w:rFonts w:ascii="Arial" w:eastAsia="Times New Roman" w:hAnsi="Arial" w:cs="Arial"/>
          <w:lang w:eastAsia="es-MX"/>
        </w:rPr>
        <w:t xml:space="preserve">Las obras terminadas en bienes propios se traspasan al rubro de inmuebles </w:t>
      </w:r>
      <w:r w:rsidR="009579E4" w:rsidRPr="00CA34F5">
        <w:rPr>
          <w:rFonts w:ascii="Arial" w:eastAsia="Times New Roman" w:hAnsi="Arial" w:cs="Arial"/>
          <w:lang w:eastAsia="es-MX"/>
        </w:rPr>
        <w:t xml:space="preserve">cuando ha sido obtenida el acta </w:t>
      </w:r>
      <w:r w:rsidR="000E5930" w:rsidRPr="00CA34F5">
        <w:rPr>
          <w:rFonts w:ascii="Arial" w:eastAsia="Times New Roman" w:hAnsi="Arial" w:cs="Arial"/>
          <w:lang w:eastAsia="es-MX"/>
        </w:rPr>
        <w:t xml:space="preserve">administrativa de cierre. </w:t>
      </w:r>
    </w:p>
    <w:p w14:paraId="36D3DA57" w14:textId="77777777" w:rsidR="005367F6" w:rsidRPr="00CA34F5" w:rsidRDefault="005367F6" w:rsidP="000A4C31">
      <w:pPr>
        <w:spacing w:after="0" w:line="240" w:lineRule="auto"/>
        <w:jc w:val="both"/>
        <w:rPr>
          <w:rFonts w:ascii="Arial" w:eastAsia="Times New Roman" w:hAnsi="Arial" w:cs="Arial"/>
          <w:lang w:eastAsia="es-MX"/>
        </w:rPr>
      </w:pPr>
    </w:p>
    <w:p w14:paraId="318B1093" w14:textId="77777777" w:rsidR="002806BF" w:rsidRPr="00CA34F5" w:rsidRDefault="002806BF" w:rsidP="000A4C31">
      <w:pPr>
        <w:spacing w:after="0" w:line="240" w:lineRule="auto"/>
        <w:jc w:val="both"/>
        <w:rPr>
          <w:rFonts w:ascii="Arial" w:eastAsia="Times New Roman" w:hAnsi="Arial" w:cs="Arial"/>
          <w:b/>
          <w:lang w:eastAsia="es-MX"/>
        </w:rPr>
      </w:pPr>
      <w:r w:rsidRPr="00CA34F5">
        <w:rPr>
          <w:rFonts w:ascii="Arial" w:eastAsia="Times New Roman" w:hAnsi="Arial" w:cs="Arial"/>
          <w:b/>
          <w:lang w:eastAsia="es-MX"/>
        </w:rPr>
        <w:t>Bienes Muebles</w:t>
      </w:r>
    </w:p>
    <w:p w14:paraId="262CFD6E" w14:textId="0D1E07F2" w:rsidR="002806BF" w:rsidRPr="00CA34F5" w:rsidRDefault="002806BF" w:rsidP="000A4C31">
      <w:pPr>
        <w:spacing w:before="240" w:after="0" w:line="240" w:lineRule="auto"/>
        <w:jc w:val="both"/>
        <w:rPr>
          <w:rFonts w:ascii="Arial" w:eastAsia="Times New Roman" w:hAnsi="Arial" w:cs="Arial"/>
          <w:lang w:eastAsia="es-MX"/>
        </w:rPr>
      </w:pPr>
      <w:r w:rsidRPr="00CA34F5">
        <w:rPr>
          <w:rFonts w:ascii="Arial" w:eastAsia="Times New Roman" w:hAnsi="Arial" w:cs="Arial"/>
          <w:lang w:eastAsia="es-MX"/>
        </w:rPr>
        <w:t xml:space="preserve">Los Bienes Muebles, considerados inversiones en activos no circulantes, se registran a su costo de adquisición o valor de donación.  La  reposición  de  bienes  se  efectúa  mediante  asignación presupuestal. El Gobierno </w:t>
      </w:r>
      <w:r w:rsidR="00E462DC" w:rsidRPr="00CA34F5">
        <w:rPr>
          <w:rFonts w:ascii="Arial" w:eastAsia="Times New Roman" w:hAnsi="Arial" w:cs="Arial"/>
          <w:lang w:eastAsia="es-MX"/>
        </w:rPr>
        <w:t>capitaliza</w:t>
      </w:r>
      <w:r w:rsidRPr="00CA34F5">
        <w:rPr>
          <w:rFonts w:ascii="Arial" w:eastAsia="Times New Roman" w:hAnsi="Arial" w:cs="Arial"/>
          <w:lang w:eastAsia="es-MX"/>
        </w:rPr>
        <w:t xml:space="preserve"> sus adquisiciones de bienes muebles e inmuebles como incrementos en el activo únicamente, por lo que no se muestra un renglón específico para este concepto en el patrimonio.</w:t>
      </w:r>
    </w:p>
    <w:p w14:paraId="4B04A2E2" w14:textId="77777777" w:rsidR="00AC34A4" w:rsidRPr="00CA34F5" w:rsidRDefault="00AC34A4" w:rsidP="000A4C31">
      <w:pPr>
        <w:spacing w:after="0" w:line="240" w:lineRule="auto"/>
        <w:jc w:val="both"/>
        <w:rPr>
          <w:rFonts w:ascii="Arial" w:eastAsia="Times New Roman" w:hAnsi="Arial" w:cs="Arial"/>
          <w:lang w:eastAsia="es-MX"/>
        </w:rPr>
      </w:pPr>
    </w:p>
    <w:p w14:paraId="4D6C463F" w14:textId="3169F4D1" w:rsidR="002806BF" w:rsidRPr="00CA34F5" w:rsidRDefault="002806BF" w:rsidP="000A4C31">
      <w:pPr>
        <w:pStyle w:val="Prrafodelista"/>
        <w:numPr>
          <w:ilvl w:val="0"/>
          <w:numId w:val="12"/>
        </w:numPr>
        <w:spacing w:after="0" w:line="240" w:lineRule="auto"/>
        <w:ind w:left="284" w:hanging="294"/>
        <w:jc w:val="both"/>
        <w:rPr>
          <w:rFonts w:ascii="Arial" w:hAnsi="Arial" w:cs="Arial"/>
          <w:b/>
        </w:rPr>
      </w:pPr>
      <w:r w:rsidRPr="00CA34F5">
        <w:rPr>
          <w:rFonts w:ascii="Arial" w:hAnsi="Arial" w:cs="Arial"/>
          <w:b/>
        </w:rPr>
        <w:t>Políticas de Contabilidad Significativas</w:t>
      </w:r>
    </w:p>
    <w:p w14:paraId="3613BC0D" w14:textId="77777777" w:rsidR="002806BF" w:rsidRPr="00CA34F5" w:rsidRDefault="002806BF" w:rsidP="000A4C31">
      <w:pPr>
        <w:spacing w:before="240" w:after="0" w:line="240" w:lineRule="auto"/>
        <w:jc w:val="both"/>
        <w:rPr>
          <w:rFonts w:ascii="Arial" w:eastAsia="Times New Roman" w:hAnsi="Arial" w:cs="Arial"/>
          <w:lang w:eastAsia="es-MX"/>
        </w:rPr>
      </w:pPr>
      <w:r w:rsidRPr="00CA34F5">
        <w:rPr>
          <w:rFonts w:ascii="Arial" w:eastAsia="Times New Roman" w:hAnsi="Arial" w:cs="Arial"/>
          <w:lang w:eastAsia="es-MX"/>
        </w:rPr>
        <w:t>Las políticas contables del Gobierno del Estado de Tabasco son similares a las que utilizan entidades federativas en el país (Armonizadas con las disposiciones de la Ley General de Contabilidad Gubernamental y acuerdos del Consejo Nacional de Armonización Contable). A continuación se mencionan las políticas de contabilidad significativas:</w:t>
      </w:r>
    </w:p>
    <w:p w14:paraId="3C5799A0" w14:textId="3DF10108" w:rsidR="00EB5E14" w:rsidRPr="00CA34F5" w:rsidRDefault="002806BF" w:rsidP="000A4C31">
      <w:pPr>
        <w:numPr>
          <w:ilvl w:val="0"/>
          <w:numId w:val="10"/>
        </w:numPr>
        <w:spacing w:before="240" w:line="240" w:lineRule="auto"/>
        <w:ind w:left="714" w:hanging="357"/>
        <w:jc w:val="both"/>
        <w:rPr>
          <w:rFonts w:ascii="Arial" w:eastAsia="Times New Roman" w:hAnsi="Arial" w:cs="Arial"/>
          <w:lang w:eastAsia="es-MX"/>
        </w:rPr>
      </w:pPr>
      <w:r w:rsidRPr="00CA34F5">
        <w:rPr>
          <w:rFonts w:ascii="Arial" w:eastAsia="Times New Roman" w:hAnsi="Arial" w:cs="Arial"/>
          <w:lang w:eastAsia="es-MX"/>
        </w:rPr>
        <w:t>Actualización. El método utilizado para la actualización de</w:t>
      </w:r>
      <w:r w:rsidR="006C3BCF" w:rsidRPr="00CA34F5">
        <w:rPr>
          <w:rFonts w:ascii="Arial" w:eastAsia="Times New Roman" w:hAnsi="Arial" w:cs="Arial"/>
          <w:lang w:eastAsia="es-MX"/>
        </w:rPr>
        <w:t xml:space="preserve">l valor de </w:t>
      </w:r>
      <w:r w:rsidRPr="00CA34F5">
        <w:rPr>
          <w:rFonts w:ascii="Arial" w:eastAsia="Times New Roman" w:hAnsi="Arial" w:cs="Arial"/>
          <w:lang w:eastAsia="es-MX"/>
        </w:rPr>
        <w:t xml:space="preserve"> los activos y Hacienda Pública/Patrimonio es el de avalúos de bienes inmuebles cuyos dictámenes se obtienen del Instituto de Administración de Avalúos y Bienes Nacionales y se contabilizan en el Activo no Circulante, contra el rubro </w:t>
      </w:r>
      <w:proofErr w:type="spellStart"/>
      <w:r w:rsidRPr="00CA34F5">
        <w:rPr>
          <w:rFonts w:ascii="Arial" w:eastAsia="Times New Roman" w:hAnsi="Arial" w:cs="Arial"/>
          <w:lang w:eastAsia="es-MX"/>
        </w:rPr>
        <w:t>Revalúos</w:t>
      </w:r>
      <w:proofErr w:type="spellEnd"/>
      <w:r w:rsidRPr="00CA34F5">
        <w:rPr>
          <w:rFonts w:ascii="Arial" w:eastAsia="Times New Roman" w:hAnsi="Arial" w:cs="Arial"/>
          <w:lang w:eastAsia="es-MX"/>
        </w:rPr>
        <w:t>.  No se han realizado actualizaciones sobre la base del índice inflacionario en Activos, Pasivos ni Hacienda Pública/Patrimonio.</w:t>
      </w:r>
    </w:p>
    <w:p w14:paraId="4292C430" w14:textId="07AD751B" w:rsidR="002806BF" w:rsidRPr="00CA34F5" w:rsidRDefault="002806BF" w:rsidP="000A4C31">
      <w:pPr>
        <w:numPr>
          <w:ilvl w:val="0"/>
          <w:numId w:val="10"/>
        </w:numPr>
        <w:spacing w:line="240" w:lineRule="auto"/>
        <w:ind w:left="714" w:hanging="357"/>
        <w:jc w:val="both"/>
        <w:rPr>
          <w:rFonts w:ascii="Arial" w:eastAsia="Times New Roman" w:hAnsi="Arial" w:cs="Arial"/>
          <w:lang w:eastAsia="es-MX"/>
        </w:rPr>
      </w:pPr>
      <w:r w:rsidRPr="00CA34F5">
        <w:rPr>
          <w:rFonts w:ascii="Arial" w:eastAsia="Times New Roman" w:hAnsi="Arial" w:cs="Arial"/>
          <w:lang w:eastAsia="es-MX"/>
        </w:rPr>
        <w:t>Operaciones en el extranjero no las hay, por lo que no tienen efecto en la información financiera gubernamental.</w:t>
      </w:r>
    </w:p>
    <w:p w14:paraId="137D3996" w14:textId="77777777" w:rsidR="002806BF" w:rsidRPr="00CA34F5" w:rsidRDefault="002806BF" w:rsidP="000A4C31">
      <w:pPr>
        <w:numPr>
          <w:ilvl w:val="0"/>
          <w:numId w:val="10"/>
        </w:numPr>
        <w:spacing w:line="240" w:lineRule="auto"/>
        <w:ind w:left="714" w:hanging="357"/>
        <w:jc w:val="both"/>
        <w:rPr>
          <w:rFonts w:ascii="Arial" w:eastAsia="Times New Roman" w:hAnsi="Arial" w:cs="Arial"/>
          <w:lang w:eastAsia="es-MX"/>
        </w:rPr>
      </w:pPr>
      <w:r w:rsidRPr="00CA34F5">
        <w:rPr>
          <w:rFonts w:ascii="Arial" w:eastAsia="Times New Roman" w:hAnsi="Arial" w:cs="Arial"/>
          <w:lang w:eastAsia="es-MX"/>
        </w:rPr>
        <w:t>No se tiene inversión en acciones de compañías subsidiarias no consolidadas y asociadas.</w:t>
      </w:r>
    </w:p>
    <w:p w14:paraId="4616E24B" w14:textId="77777777" w:rsidR="002806BF" w:rsidRPr="00CA34F5" w:rsidRDefault="002806BF" w:rsidP="000A4C31">
      <w:pPr>
        <w:numPr>
          <w:ilvl w:val="0"/>
          <w:numId w:val="10"/>
        </w:numPr>
        <w:spacing w:after="0" w:line="240" w:lineRule="auto"/>
        <w:ind w:left="714" w:hanging="357"/>
        <w:jc w:val="both"/>
        <w:rPr>
          <w:rFonts w:ascii="Arial" w:eastAsia="Times New Roman" w:hAnsi="Arial" w:cs="Arial"/>
          <w:lang w:eastAsia="es-MX"/>
        </w:rPr>
      </w:pPr>
      <w:r w:rsidRPr="00CA34F5">
        <w:rPr>
          <w:rFonts w:ascii="Arial" w:eastAsia="Times New Roman" w:hAnsi="Arial" w:cs="Arial"/>
          <w:lang w:eastAsia="es-MX"/>
        </w:rPr>
        <w:t>Sistema y método de valuación de inventarios y costo de lo vendido: No se tiene inventarios ni ventas de mercancías.</w:t>
      </w:r>
    </w:p>
    <w:p w14:paraId="76F436ED" w14:textId="77777777" w:rsidR="002806BF" w:rsidRPr="00CA34F5" w:rsidRDefault="002806BF" w:rsidP="000A4C31">
      <w:pPr>
        <w:numPr>
          <w:ilvl w:val="0"/>
          <w:numId w:val="10"/>
        </w:numPr>
        <w:spacing w:line="240" w:lineRule="auto"/>
        <w:ind w:left="714" w:hanging="357"/>
        <w:jc w:val="both"/>
        <w:rPr>
          <w:rFonts w:ascii="Arial" w:eastAsia="Times New Roman" w:hAnsi="Arial" w:cs="Arial"/>
          <w:lang w:eastAsia="es-MX"/>
        </w:rPr>
      </w:pPr>
      <w:r w:rsidRPr="00CA34F5">
        <w:rPr>
          <w:rFonts w:ascii="Arial" w:eastAsia="Times New Roman" w:hAnsi="Arial" w:cs="Arial"/>
          <w:lang w:eastAsia="es-MX"/>
        </w:rPr>
        <w:t>Beneficios a empleados: revelar el cálculo de la reserva actuarial, valor presente de los ingresos esperados comparado con el valor presente de la estimación de gastos tanto de los beneficiarios actuales como futuros. Estos conceptos son competencia del organismo descentralizado Instituto de Seguridad Social del Estado de Tabasco.</w:t>
      </w:r>
    </w:p>
    <w:p w14:paraId="11EC2094" w14:textId="77777777" w:rsidR="002806BF" w:rsidRPr="00CA34F5" w:rsidRDefault="002806BF" w:rsidP="000A4C31">
      <w:pPr>
        <w:numPr>
          <w:ilvl w:val="0"/>
          <w:numId w:val="10"/>
        </w:numPr>
        <w:spacing w:line="240" w:lineRule="auto"/>
        <w:ind w:left="714" w:hanging="357"/>
        <w:jc w:val="both"/>
        <w:rPr>
          <w:rFonts w:ascii="Arial" w:eastAsia="Times New Roman" w:hAnsi="Arial" w:cs="Arial"/>
          <w:lang w:eastAsia="es-MX"/>
        </w:rPr>
      </w:pPr>
      <w:r w:rsidRPr="00CA34F5">
        <w:rPr>
          <w:rFonts w:ascii="Arial" w:eastAsia="Times New Roman" w:hAnsi="Arial" w:cs="Arial"/>
          <w:lang w:eastAsia="es-MX"/>
        </w:rPr>
        <w:t>Provisiones: objetivo de su creación, monto y plazo. No se tienen actualmente.</w:t>
      </w:r>
    </w:p>
    <w:p w14:paraId="2AAA989F" w14:textId="77777777" w:rsidR="002806BF" w:rsidRPr="00CA34F5" w:rsidRDefault="002806BF" w:rsidP="000A4C31">
      <w:pPr>
        <w:numPr>
          <w:ilvl w:val="0"/>
          <w:numId w:val="10"/>
        </w:numPr>
        <w:spacing w:line="240" w:lineRule="auto"/>
        <w:ind w:left="714" w:hanging="357"/>
        <w:jc w:val="both"/>
        <w:rPr>
          <w:rFonts w:ascii="Arial" w:eastAsia="Times New Roman" w:hAnsi="Arial" w:cs="Arial"/>
          <w:lang w:eastAsia="es-MX"/>
        </w:rPr>
      </w:pPr>
      <w:r w:rsidRPr="00CA34F5">
        <w:rPr>
          <w:rFonts w:ascii="Arial" w:eastAsia="Times New Roman" w:hAnsi="Arial" w:cs="Arial"/>
          <w:lang w:eastAsia="es-MX"/>
        </w:rPr>
        <w:t>Reservas: objetivo de su creación, monto y plazo. No se tienen actualmente.</w:t>
      </w:r>
    </w:p>
    <w:p w14:paraId="6DADD0D8" w14:textId="77777777" w:rsidR="002806BF" w:rsidRPr="00CA34F5" w:rsidRDefault="002806BF" w:rsidP="000A4C31">
      <w:pPr>
        <w:numPr>
          <w:ilvl w:val="0"/>
          <w:numId w:val="10"/>
        </w:numPr>
        <w:spacing w:line="240" w:lineRule="auto"/>
        <w:ind w:left="714" w:hanging="357"/>
        <w:jc w:val="both"/>
        <w:rPr>
          <w:rFonts w:ascii="Arial" w:eastAsia="Times New Roman" w:hAnsi="Arial" w:cs="Arial"/>
          <w:lang w:eastAsia="es-MX"/>
        </w:rPr>
      </w:pPr>
      <w:r w:rsidRPr="00CA34F5">
        <w:rPr>
          <w:rFonts w:ascii="Arial" w:eastAsia="Times New Roman" w:hAnsi="Arial" w:cs="Arial"/>
          <w:lang w:eastAsia="es-MX"/>
        </w:rPr>
        <w:t>Cambios en políticas contables y correcciones de errores junto con la revelación de los efectos que se tendrá en la información financiera del ente público ya sea retrospectivo o prospectivos. Se reconocen contablemente de acuerdo con la normativa del Consejo Nacional de Armonización Contable.</w:t>
      </w:r>
    </w:p>
    <w:p w14:paraId="4031DA71" w14:textId="3871A858" w:rsidR="002806BF" w:rsidRPr="00CA34F5" w:rsidRDefault="007609EA" w:rsidP="000A4C31">
      <w:pPr>
        <w:numPr>
          <w:ilvl w:val="0"/>
          <w:numId w:val="10"/>
        </w:numPr>
        <w:spacing w:line="240" w:lineRule="auto"/>
        <w:ind w:left="714" w:hanging="357"/>
        <w:jc w:val="both"/>
        <w:rPr>
          <w:rFonts w:ascii="Arial" w:eastAsia="Times New Roman" w:hAnsi="Arial" w:cs="Arial"/>
          <w:lang w:eastAsia="es-MX"/>
        </w:rPr>
      </w:pPr>
      <w:r w:rsidRPr="00CA34F5">
        <w:rPr>
          <w:rFonts w:ascii="Arial" w:eastAsia="Times New Roman" w:hAnsi="Arial" w:cs="Arial"/>
          <w:lang w:eastAsia="es-MX"/>
        </w:rPr>
        <w:t>Reclasificaciones: S</w:t>
      </w:r>
      <w:r w:rsidR="002806BF" w:rsidRPr="00CA34F5">
        <w:rPr>
          <w:rFonts w:ascii="Arial" w:eastAsia="Times New Roman" w:hAnsi="Arial" w:cs="Arial"/>
          <w:lang w:eastAsia="es-MX"/>
        </w:rPr>
        <w:t xml:space="preserve">e realizaron </w:t>
      </w:r>
      <w:proofErr w:type="spellStart"/>
      <w:r w:rsidR="002806BF" w:rsidRPr="00CA34F5">
        <w:rPr>
          <w:rFonts w:ascii="Arial" w:eastAsia="Times New Roman" w:hAnsi="Arial" w:cs="Arial"/>
          <w:lang w:eastAsia="es-MX"/>
        </w:rPr>
        <w:t>depuración</w:t>
      </w:r>
      <w:r w:rsidR="002E35F9" w:rsidRPr="00CA34F5">
        <w:rPr>
          <w:rFonts w:ascii="Arial" w:eastAsia="Times New Roman" w:hAnsi="Arial" w:cs="Arial"/>
          <w:lang w:eastAsia="es-MX"/>
        </w:rPr>
        <w:t>es</w:t>
      </w:r>
      <w:proofErr w:type="spellEnd"/>
      <w:r w:rsidR="002806BF" w:rsidRPr="00CA34F5">
        <w:rPr>
          <w:rFonts w:ascii="Arial" w:eastAsia="Times New Roman" w:hAnsi="Arial" w:cs="Arial"/>
          <w:lang w:eastAsia="es-MX"/>
        </w:rPr>
        <w:t xml:space="preserve"> de cuentas como seguimiento al </w:t>
      </w:r>
      <w:r w:rsidR="002E35F9" w:rsidRPr="00CA34F5">
        <w:rPr>
          <w:rFonts w:ascii="Arial" w:eastAsia="Times New Roman" w:hAnsi="Arial" w:cs="Arial"/>
          <w:lang w:eastAsia="es-MX"/>
        </w:rPr>
        <w:t>a</w:t>
      </w:r>
      <w:r w:rsidR="002806BF" w:rsidRPr="00CA34F5">
        <w:rPr>
          <w:rFonts w:ascii="Arial" w:eastAsia="Times New Roman" w:hAnsi="Arial" w:cs="Arial"/>
          <w:lang w:eastAsia="es-MX"/>
        </w:rPr>
        <w:t>nálisis de las mismas</w:t>
      </w:r>
      <w:r w:rsidR="002806BF" w:rsidRPr="00CA34F5">
        <w:rPr>
          <w:rFonts w:ascii="Arial" w:eastAsia="Times New Roman" w:hAnsi="Arial" w:cs="Arial"/>
          <w:b/>
          <w:lang w:eastAsia="es-MX"/>
        </w:rPr>
        <w:t>.</w:t>
      </w:r>
      <w:r w:rsidR="001310BD" w:rsidRPr="00CA34F5">
        <w:rPr>
          <w:rFonts w:ascii="Arial" w:eastAsia="Times New Roman" w:hAnsi="Arial" w:cs="Arial"/>
          <w:b/>
          <w:lang w:eastAsia="es-MX"/>
        </w:rPr>
        <w:t xml:space="preserve"> </w:t>
      </w:r>
    </w:p>
    <w:p w14:paraId="5395F100" w14:textId="255B1BCE" w:rsidR="002806BF" w:rsidRPr="00CA34F5" w:rsidRDefault="002806BF" w:rsidP="000A4C31">
      <w:pPr>
        <w:numPr>
          <w:ilvl w:val="0"/>
          <w:numId w:val="10"/>
        </w:numPr>
        <w:spacing w:line="240" w:lineRule="auto"/>
        <w:ind w:left="714" w:hanging="357"/>
        <w:jc w:val="both"/>
        <w:rPr>
          <w:rFonts w:ascii="Arial" w:eastAsia="Times New Roman" w:hAnsi="Arial" w:cs="Arial"/>
          <w:lang w:eastAsia="es-MX"/>
        </w:rPr>
      </w:pPr>
      <w:r w:rsidRPr="00CA34F5">
        <w:rPr>
          <w:rFonts w:ascii="Arial" w:eastAsia="Times New Roman" w:hAnsi="Arial" w:cs="Arial"/>
          <w:lang w:eastAsia="es-MX"/>
        </w:rPr>
        <w:t xml:space="preserve">Se </w:t>
      </w:r>
      <w:r w:rsidR="002A191B" w:rsidRPr="00CA34F5">
        <w:rPr>
          <w:rFonts w:ascii="Arial" w:eastAsia="Times New Roman" w:hAnsi="Arial" w:cs="Arial"/>
          <w:lang w:eastAsia="es-MX"/>
        </w:rPr>
        <w:t>continúa</w:t>
      </w:r>
      <w:r w:rsidR="0024493C" w:rsidRPr="00CA34F5">
        <w:rPr>
          <w:rFonts w:ascii="Arial" w:eastAsia="Times New Roman" w:hAnsi="Arial" w:cs="Arial"/>
          <w:lang w:eastAsia="es-MX"/>
        </w:rPr>
        <w:t>n los</w:t>
      </w:r>
      <w:r w:rsidRPr="00CA34F5">
        <w:rPr>
          <w:rFonts w:ascii="Arial" w:eastAsia="Times New Roman" w:hAnsi="Arial" w:cs="Arial"/>
          <w:lang w:eastAsia="es-MX"/>
        </w:rPr>
        <w:t xml:space="preserve"> proceso</w:t>
      </w:r>
      <w:r w:rsidR="0024493C" w:rsidRPr="00CA34F5">
        <w:rPr>
          <w:rFonts w:ascii="Arial" w:eastAsia="Times New Roman" w:hAnsi="Arial" w:cs="Arial"/>
          <w:lang w:eastAsia="es-MX"/>
        </w:rPr>
        <w:t>s para</w:t>
      </w:r>
      <w:r w:rsidRPr="00CA34F5">
        <w:rPr>
          <w:rFonts w:ascii="Arial" w:eastAsia="Times New Roman" w:hAnsi="Arial" w:cs="Arial"/>
          <w:lang w:eastAsia="es-MX"/>
        </w:rPr>
        <w:t xml:space="preserve"> depuración</w:t>
      </w:r>
      <w:r w:rsidR="002E35F9" w:rsidRPr="00CA34F5">
        <w:rPr>
          <w:rFonts w:ascii="Arial" w:eastAsia="Times New Roman" w:hAnsi="Arial" w:cs="Arial"/>
          <w:lang w:eastAsia="es-MX"/>
        </w:rPr>
        <w:t>.</w:t>
      </w:r>
      <w:r w:rsidR="001310BD" w:rsidRPr="00CA34F5">
        <w:rPr>
          <w:rFonts w:ascii="Arial" w:eastAsia="Times New Roman" w:hAnsi="Arial" w:cs="Arial"/>
          <w:b/>
          <w:lang w:eastAsia="es-MX"/>
        </w:rPr>
        <w:t xml:space="preserve">    </w:t>
      </w:r>
    </w:p>
    <w:p w14:paraId="3B07D313" w14:textId="77777777" w:rsidR="00161DD0" w:rsidRPr="00CA34F5" w:rsidRDefault="00161DD0" w:rsidP="000A4C31">
      <w:pPr>
        <w:spacing w:after="0" w:line="240" w:lineRule="auto"/>
        <w:jc w:val="both"/>
        <w:rPr>
          <w:rFonts w:ascii="Arial" w:eastAsia="Times New Roman" w:hAnsi="Arial" w:cs="Arial"/>
          <w:lang w:eastAsia="es-MX"/>
        </w:rPr>
      </w:pPr>
    </w:p>
    <w:p w14:paraId="6AAFE749" w14:textId="77777777" w:rsidR="002806BF" w:rsidRPr="00CA34F5" w:rsidRDefault="002806BF" w:rsidP="000A4C31">
      <w:pPr>
        <w:numPr>
          <w:ilvl w:val="0"/>
          <w:numId w:val="12"/>
        </w:numPr>
        <w:spacing w:after="0" w:line="240" w:lineRule="auto"/>
        <w:ind w:left="142" w:hanging="142"/>
        <w:contextualSpacing/>
        <w:jc w:val="both"/>
        <w:rPr>
          <w:rFonts w:ascii="Arial" w:hAnsi="Arial" w:cs="Arial"/>
          <w:b/>
        </w:rPr>
      </w:pPr>
      <w:r w:rsidRPr="00CA34F5">
        <w:rPr>
          <w:rFonts w:ascii="Arial" w:hAnsi="Arial" w:cs="Arial"/>
          <w:b/>
        </w:rPr>
        <w:t xml:space="preserve"> Posición en Moneda Extranjera y Protección por Riesgo Cambiario</w:t>
      </w:r>
    </w:p>
    <w:p w14:paraId="79B22A6E" w14:textId="77777777" w:rsidR="002806BF" w:rsidRDefault="002806BF" w:rsidP="000A4C31">
      <w:pPr>
        <w:spacing w:before="240" w:after="0" w:line="240" w:lineRule="auto"/>
        <w:jc w:val="both"/>
        <w:rPr>
          <w:rFonts w:ascii="Arial" w:eastAsia="Times New Roman" w:hAnsi="Arial" w:cs="Arial"/>
          <w:lang w:eastAsia="es-MX"/>
        </w:rPr>
      </w:pPr>
      <w:r w:rsidRPr="00CA34F5">
        <w:rPr>
          <w:rFonts w:ascii="Arial" w:eastAsia="Times New Roman" w:hAnsi="Arial" w:cs="Arial"/>
          <w:lang w:eastAsia="es-MX"/>
        </w:rPr>
        <w:t>El poder Ejecutivo del Gobierno del Estado no tiene Activos, Pasivos, cuentas por cobrar ni por pagar en moneda extranjera.</w:t>
      </w:r>
    </w:p>
    <w:p w14:paraId="55FD3CC0" w14:textId="77777777" w:rsidR="00724C78" w:rsidRPr="00CA34F5" w:rsidRDefault="00724C78" w:rsidP="000A4C31">
      <w:pPr>
        <w:spacing w:before="240" w:after="0" w:line="240" w:lineRule="auto"/>
        <w:jc w:val="both"/>
        <w:rPr>
          <w:rFonts w:ascii="Arial" w:eastAsia="Times New Roman" w:hAnsi="Arial" w:cs="Arial"/>
          <w:lang w:eastAsia="es-MX"/>
        </w:rPr>
      </w:pPr>
    </w:p>
    <w:p w14:paraId="21911F72" w14:textId="77777777" w:rsidR="00161DD0" w:rsidRDefault="00161DD0" w:rsidP="000A4C31">
      <w:pPr>
        <w:spacing w:after="0" w:line="240" w:lineRule="auto"/>
        <w:jc w:val="both"/>
        <w:rPr>
          <w:rFonts w:ascii="Arial" w:eastAsia="Times New Roman" w:hAnsi="Arial" w:cs="Arial"/>
          <w:lang w:eastAsia="es-MX"/>
        </w:rPr>
      </w:pPr>
    </w:p>
    <w:p w14:paraId="7D952B9D" w14:textId="77777777" w:rsidR="00CA20AE" w:rsidRDefault="00CA20AE" w:rsidP="000A4C31">
      <w:pPr>
        <w:spacing w:after="0" w:line="240" w:lineRule="auto"/>
        <w:jc w:val="both"/>
        <w:rPr>
          <w:rFonts w:ascii="Arial" w:eastAsia="Times New Roman" w:hAnsi="Arial" w:cs="Arial"/>
          <w:lang w:eastAsia="es-MX"/>
        </w:rPr>
      </w:pPr>
    </w:p>
    <w:p w14:paraId="5EB71C92" w14:textId="77777777" w:rsidR="00CA20AE" w:rsidRPr="00CA34F5" w:rsidRDefault="00CA20AE" w:rsidP="000A4C31">
      <w:pPr>
        <w:spacing w:after="0" w:line="240" w:lineRule="auto"/>
        <w:jc w:val="both"/>
        <w:rPr>
          <w:rFonts w:ascii="Arial" w:eastAsia="Times New Roman" w:hAnsi="Arial" w:cs="Arial"/>
          <w:lang w:eastAsia="es-MX"/>
        </w:rPr>
      </w:pPr>
    </w:p>
    <w:p w14:paraId="3F94F42F" w14:textId="77777777" w:rsidR="002806BF" w:rsidRPr="00CA34F5" w:rsidRDefault="002806BF" w:rsidP="000A4C31">
      <w:pPr>
        <w:numPr>
          <w:ilvl w:val="0"/>
          <w:numId w:val="12"/>
        </w:numPr>
        <w:spacing w:after="0" w:line="240" w:lineRule="auto"/>
        <w:ind w:left="142" w:hanging="142"/>
        <w:contextualSpacing/>
        <w:jc w:val="both"/>
        <w:rPr>
          <w:rFonts w:ascii="Arial" w:hAnsi="Arial" w:cs="Arial"/>
          <w:b/>
        </w:rPr>
      </w:pPr>
      <w:r w:rsidRPr="00CA34F5">
        <w:rPr>
          <w:rFonts w:ascii="Arial" w:hAnsi="Arial" w:cs="Arial"/>
          <w:b/>
        </w:rPr>
        <w:lastRenderedPageBreak/>
        <w:t xml:space="preserve"> Reporte Analítico del Activo</w:t>
      </w:r>
    </w:p>
    <w:p w14:paraId="0C3CD907" w14:textId="61932529" w:rsidR="00837428" w:rsidRDefault="00197E37" w:rsidP="000A4C31">
      <w:pPr>
        <w:spacing w:before="240" w:after="0" w:line="240" w:lineRule="auto"/>
        <w:jc w:val="both"/>
        <w:rPr>
          <w:rFonts w:ascii="Arial" w:eastAsia="Times New Roman" w:hAnsi="Arial" w:cs="Arial"/>
          <w:lang w:eastAsia="es-MX"/>
        </w:rPr>
      </w:pPr>
      <w:r w:rsidRPr="00CA34F5">
        <w:rPr>
          <w:rFonts w:ascii="Arial" w:eastAsia="Times New Roman" w:hAnsi="Arial" w:cs="Arial"/>
          <w:lang w:eastAsia="es-MX"/>
        </w:rPr>
        <w:t>Los activos del Poder Ejecutivo son presentados a costos históricos en el formato establecido al efecto por el Consejo Nacional de Armonización Contable, integrado en los Estados Contables de la presente información financiera.</w:t>
      </w:r>
    </w:p>
    <w:p w14:paraId="6B56F9EA" w14:textId="77777777" w:rsidR="00955B7F" w:rsidRPr="00CA34F5" w:rsidRDefault="00955B7F" w:rsidP="000A4C31">
      <w:pPr>
        <w:spacing w:before="240" w:after="0" w:line="240" w:lineRule="auto"/>
        <w:jc w:val="both"/>
        <w:rPr>
          <w:rFonts w:ascii="Arial" w:eastAsia="Times New Roman" w:hAnsi="Arial" w:cs="Arial"/>
          <w:lang w:eastAsia="es-MX"/>
        </w:rPr>
      </w:pPr>
    </w:p>
    <w:p w14:paraId="37C0FD0E" w14:textId="1E56FD0E" w:rsidR="002806BF" w:rsidRPr="00CA34F5" w:rsidRDefault="002806BF" w:rsidP="000A4C31">
      <w:pPr>
        <w:numPr>
          <w:ilvl w:val="0"/>
          <w:numId w:val="12"/>
        </w:numPr>
        <w:spacing w:after="0" w:line="240" w:lineRule="auto"/>
        <w:ind w:left="142" w:hanging="142"/>
        <w:contextualSpacing/>
        <w:jc w:val="both"/>
        <w:rPr>
          <w:rFonts w:ascii="Arial" w:hAnsi="Arial" w:cs="Arial"/>
          <w:b/>
        </w:rPr>
      </w:pPr>
      <w:r w:rsidRPr="00CA34F5">
        <w:rPr>
          <w:rFonts w:ascii="Arial" w:hAnsi="Arial" w:cs="Arial"/>
          <w:b/>
        </w:rPr>
        <w:t xml:space="preserve"> Fideicomisos, Mandatos y Análogos</w:t>
      </w:r>
      <w:r w:rsidR="001755DF" w:rsidRPr="00CA34F5">
        <w:rPr>
          <w:rFonts w:ascii="Arial" w:hAnsi="Arial" w:cs="Arial"/>
          <w:b/>
        </w:rPr>
        <w:t xml:space="preserve">               </w:t>
      </w:r>
    </w:p>
    <w:p w14:paraId="61113F4E" w14:textId="77777777" w:rsidR="00BB5BC5" w:rsidRPr="00CA34F5" w:rsidRDefault="00BB5BC5" w:rsidP="000A4C31">
      <w:pPr>
        <w:spacing w:after="0" w:line="240" w:lineRule="auto"/>
        <w:jc w:val="both"/>
        <w:rPr>
          <w:rFonts w:ascii="Arial" w:eastAsia="Arial" w:hAnsi="Arial" w:cs="Arial"/>
        </w:rPr>
      </w:pPr>
    </w:p>
    <w:p w14:paraId="25F97D76" w14:textId="77777777" w:rsidR="00457E53" w:rsidRPr="00CA34F5" w:rsidRDefault="00457E53" w:rsidP="00457E53">
      <w:pPr>
        <w:spacing w:after="0" w:line="240" w:lineRule="auto"/>
        <w:jc w:val="both"/>
        <w:rPr>
          <w:rFonts w:ascii="Arial" w:hAnsi="Arial" w:cs="Arial"/>
        </w:rPr>
      </w:pPr>
      <w:r w:rsidRPr="00CA34F5">
        <w:rPr>
          <w:rFonts w:ascii="Arial" w:hAnsi="Arial" w:cs="Arial"/>
        </w:rPr>
        <w:t xml:space="preserve">                   </w:t>
      </w:r>
    </w:p>
    <w:p w14:paraId="6F4EE1F8" w14:textId="77777777" w:rsidR="00457E53" w:rsidRPr="00CA34F5" w:rsidRDefault="00457E53" w:rsidP="00457E53">
      <w:pPr>
        <w:spacing w:after="0" w:line="240" w:lineRule="auto"/>
        <w:jc w:val="both"/>
        <w:rPr>
          <w:rFonts w:ascii="Arial" w:eastAsia="Times New Roman" w:hAnsi="Arial" w:cs="Arial"/>
          <w:b/>
          <w:bCs/>
          <w:color w:val="000000"/>
          <w:lang w:eastAsia="es-MX"/>
        </w:rPr>
      </w:pPr>
      <w:r w:rsidRPr="00CA34F5">
        <w:rPr>
          <w:rFonts w:ascii="Arial" w:hAnsi="Arial" w:cs="Arial"/>
        </w:rPr>
        <w:t>Los Fideicomisos Públicos  en los que el Gobierno del Estado de Tabasco es Fideicomitente a través de la Secretaría de Finanzas, o participa con recursos financieros, se detallan a continuación:</w:t>
      </w:r>
    </w:p>
    <w:p w14:paraId="403FD996" w14:textId="59988A44" w:rsidR="00457E53" w:rsidRPr="00CA34F5" w:rsidRDefault="00457E53" w:rsidP="00457E53">
      <w:pPr>
        <w:spacing w:after="0" w:line="240" w:lineRule="auto"/>
        <w:jc w:val="both"/>
        <w:rPr>
          <w:rFonts w:ascii="Arial" w:eastAsia="Arial" w:hAnsi="Arial" w:cs="Arial"/>
        </w:rPr>
      </w:pPr>
      <w:r w:rsidRPr="00CA34F5">
        <w:rPr>
          <w:rFonts w:ascii="Arial" w:eastAsia="Arial" w:hAnsi="Arial" w:cs="Arial"/>
        </w:rPr>
        <w:tab/>
      </w:r>
    </w:p>
    <w:p w14:paraId="6C8B17F2" w14:textId="77777777" w:rsidR="00457E53" w:rsidRPr="00843A92" w:rsidRDefault="00457E53" w:rsidP="00457E53">
      <w:pPr>
        <w:spacing w:before="240" w:after="0" w:line="240" w:lineRule="auto"/>
        <w:jc w:val="both"/>
        <w:rPr>
          <w:rFonts w:ascii="Arial" w:hAnsi="Arial" w:cs="Arial"/>
          <w:b/>
          <w:sz w:val="24"/>
          <w:szCs w:val="24"/>
        </w:rPr>
      </w:pPr>
      <w:r>
        <w:rPr>
          <w:rFonts w:ascii="Arial" w:hAnsi="Arial" w:cs="Arial"/>
          <w:b/>
          <w:sz w:val="24"/>
          <w:szCs w:val="24"/>
        </w:rPr>
        <w:t>Total del Rubro $ 619</w:t>
      </w:r>
      <w:proofErr w:type="gramStart"/>
      <w:r>
        <w:rPr>
          <w:rFonts w:ascii="Arial" w:hAnsi="Arial" w:cs="Arial"/>
          <w:b/>
          <w:sz w:val="24"/>
          <w:szCs w:val="24"/>
        </w:rPr>
        <w:t>,029,113</w:t>
      </w:r>
      <w:proofErr w:type="gramEnd"/>
    </w:p>
    <w:p w14:paraId="2F22918E" w14:textId="6E3A2D0C" w:rsidR="00457E53" w:rsidRPr="00724C78" w:rsidRDefault="00457E53" w:rsidP="00457E53">
      <w:pPr>
        <w:spacing w:before="240" w:after="0" w:line="240" w:lineRule="auto"/>
        <w:jc w:val="both"/>
        <w:rPr>
          <w:rFonts w:ascii="Arial" w:hAnsi="Arial" w:cs="Arial"/>
          <w:sz w:val="24"/>
          <w:szCs w:val="24"/>
        </w:rPr>
      </w:pPr>
      <w:r w:rsidRPr="00843A92">
        <w:rPr>
          <w:rFonts w:ascii="Arial" w:hAnsi="Arial" w:cs="Arial"/>
          <w:sz w:val="24"/>
          <w:szCs w:val="24"/>
        </w:rPr>
        <w:t xml:space="preserve">La suma de los saldos de </w:t>
      </w:r>
      <w:r w:rsidRPr="00F83E64">
        <w:rPr>
          <w:rFonts w:ascii="Arial" w:hAnsi="Arial" w:cs="Arial"/>
          <w:sz w:val="24"/>
          <w:szCs w:val="24"/>
        </w:rPr>
        <w:t xml:space="preserve">los </w:t>
      </w:r>
      <w:r w:rsidR="00F83E64" w:rsidRPr="00F83E64">
        <w:rPr>
          <w:rFonts w:ascii="Arial" w:hAnsi="Arial" w:cs="Arial"/>
          <w:sz w:val="24"/>
          <w:szCs w:val="24"/>
        </w:rPr>
        <w:t>18</w:t>
      </w:r>
      <w:r w:rsidRPr="00F83E64">
        <w:rPr>
          <w:rFonts w:ascii="Arial" w:hAnsi="Arial" w:cs="Arial"/>
          <w:sz w:val="24"/>
          <w:szCs w:val="24"/>
        </w:rPr>
        <w:t xml:space="preserve"> Fideicomisos Públicos en los que el Gobierno del Estado de Tabasco participa como Fideicomitente a través de la Secretaría de Finanzas</w:t>
      </w:r>
      <w:r w:rsidRPr="00843A92">
        <w:rPr>
          <w:rFonts w:ascii="Arial" w:hAnsi="Arial" w:cs="Arial"/>
          <w:sz w:val="24"/>
          <w:szCs w:val="24"/>
        </w:rPr>
        <w:t xml:space="preserve">, detallados es de </w:t>
      </w:r>
      <w:r w:rsidRPr="00580F8F">
        <w:rPr>
          <w:rFonts w:ascii="Arial" w:hAnsi="Arial" w:cs="Arial"/>
          <w:b/>
          <w:sz w:val="24"/>
          <w:szCs w:val="24"/>
        </w:rPr>
        <w:t>$560,959</w:t>
      </w:r>
      <w:r>
        <w:rPr>
          <w:rFonts w:ascii="Arial" w:hAnsi="Arial" w:cs="Arial"/>
          <w:b/>
          <w:sz w:val="24"/>
          <w:szCs w:val="24"/>
        </w:rPr>
        <w:t>,207</w:t>
      </w:r>
      <w:r w:rsidRPr="00843A92">
        <w:rPr>
          <w:rFonts w:ascii="Arial" w:hAnsi="Arial" w:cs="Arial"/>
          <w:sz w:val="24"/>
          <w:szCs w:val="24"/>
        </w:rPr>
        <w:t xml:space="preserve"> la diferencia de </w:t>
      </w:r>
      <w:r w:rsidRPr="00580F8F">
        <w:rPr>
          <w:rFonts w:ascii="Arial" w:hAnsi="Arial" w:cs="Arial"/>
          <w:b/>
          <w:sz w:val="24"/>
          <w:szCs w:val="24"/>
        </w:rPr>
        <w:t>$5</w:t>
      </w:r>
      <w:r w:rsidRPr="00843A92">
        <w:rPr>
          <w:rFonts w:ascii="Arial" w:hAnsi="Arial" w:cs="Arial"/>
          <w:b/>
          <w:sz w:val="24"/>
          <w:szCs w:val="24"/>
        </w:rPr>
        <w:t>8,069,906</w:t>
      </w:r>
      <w:r w:rsidRPr="00843A92">
        <w:rPr>
          <w:rFonts w:ascii="Arial" w:hAnsi="Arial" w:cs="Arial"/>
          <w:sz w:val="24"/>
          <w:szCs w:val="24"/>
        </w:rPr>
        <w:t xml:space="preserve"> corresponde al saldo del mecanismo financiero de compensación previsto en el Convenio de </w:t>
      </w:r>
      <w:proofErr w:type="spellStart"/>
      <w:r w:rsidRPr="00843A92">
        <w:rPr>
          <w:rFonts w:ascii="Arial" w:hAnsi="Arial" w:cs="Arial"/>
          <w:sz w:val="24"/>
          <w:szCs w:val="24"/>
        </w:rPr>
        <w:t>Colaboracion</w:t>
      </w:r>
      <w:proofErr w:type="spellEnd"/>
      <w:r w:rsidRPr="00843A92">
        <w:rPr>
          <w:rFonts w:ascii="Arial" w:hAnsi="Arial" w:cs="Arial"/>
          <w:sz w:val="24"/>
          <w:szCs w:val="24"/>
        </w:rPr>
        <w:t xml:space="preserve"> para la entrega irrevocable de recursos celebrado por el Gobierno Federal, por conducto de la Secretaría de Hacienda y Crédito Público y el Gobierno del Estado de Tabasco.</w:t>
      </w:r>
      <w:r w:rsidR="00724C78">
        <w:rPr>
          <w:rFonts w:ascii="Arial" w:hAnsi="Arial" w:cs="Arial"/>
          <w:sz w:val="24"/>
          <w:szCs w:val="24"/>
        </w:rPr>
        <w:t xml:space="preserve">  Se informan los fideicomisos </w:t>
      </w:r>
      <w:r w:rsidR="00724C78">
        <w:rPr>
          <w:rFonts w:ascii="Arial" w:eastAsia="Arial" w:hAnsi="Arial" w:cs="Arial"/>
          <w:b/>
          <w:color w:val="000000"/>
          <w:sz w:val="24"/>
          <w:szCs w:val="24"/>
        </w:rPr>
        <w:t xml:space="preserve">Fideicomiso Rescate Urbano de la Zona Sur-Poniente del Centro Histórico  de la Ciudad de Villahermosa y Fideicomiso para el Apoyo Empresarial de Tabasco. FIDETAB, </w:t>
      </w:r>
      <w:r w:rsidR="00724C78">
        <w:rPr>
          <w:rFonts w:ascii="Arial" w:eastAsia="Arial" w:hAnsi="Arial" w:cs="Arial"/>
          <w:color w:val="000000"/>
          <w:sz w:val="24"/>
          <w:szCs w:val="24"/>
        </w:rPr>
        <w:t>los cuales fueron extintos en el cuarto trimestre 2021.</w:t>
      </w:r>
    </w:p>
    <w:p w14:paraId="5C36CB20" w14:textId="77777777" w:rsidR="00457E53" w:rsidRPr="00843A92" w:rsidRDefault="00457E53" w:rsidP="00457E53">
      <w:pPr>
        <w:spacing w:before="240" w:after="0" w:line="240" w:lineRule="auto"/>
        <w:jc w:val="both"/>
        <w:rPr>
          <w:rFonts w:ascii="Arial" w:hAnsi="Arial" w:cs="Arial"/>
          <w:sz w:val="24"/>
          <w:szCs w:val="24"/>
        </w:rPr>
      </w:pPr>
    </w:p>
    <w:p w14:paraId="3D1B82F6" w14:textId="77777777" w:rsidR="00457E53" w:rsidRPr="00843A92" w:rsidRDefault="00457E53" w:rsidP="00457E53">
      <w:pPr>
        <w:numPr>
          <w:ilvl w:val="0"/>
          <w:numId w:val="23"/>
        </w:numPr>
        <w:pBdr>
          <w:top w:val="nil"/>
          <w:left w:val="nil"/>
          <w:bottom w:val="nil"/>
          <w:right w:val="nil"/>
          <w:between w:val="nil"/>
        </w:pBdr>
        <w:spacing w:after="0" w:line="240" w:lineRule="auto"/>
        <w:jc w:val="both"/>
        <w:rPr>
          <w:rFonts w:ascii="Arial" w:eastAsia="Arial" w:hAnsi="Arial" w:cs="Arial"/>
          <w:b/>
          <w:color w:val="000000"/>
          <w:sz w:val="24"/>
          <w:szCs w:val="24"/>
        </w:rPr>
      </w:pPr>
      <w:r w:rsidRPr="00843A92">
        <w:rPr>
          <w:rFonts w:ascii="Arial" w:eastAsia="Arial" w:hAnsi="Arial" w:cs="Arial"/>
          <w:b/>
          <w:color w:val="000000"/>
          <w:sz w:val="24"/>
          <w:szCs w:val="24"/>
        </w:rPr>
        <w:t>Fideicomiso de Fuente Alterna de Pago. AGROTAB</w:t>
      </w:r>
    </w:p>
    <w:p w14:paraId="637BE644" w14:textId="77777777" w:rsidR="00457E53" w:rsidRPr="00843A92" w:rsidRDefault="00457E53" w:rsidP="00457E53">
      <w:pPr>
        <w:spacing w:after="0" w:line="240" w:lineRule="auto"/>
        <w:ind w:firstLine="708"/>
        <w:jc w:val="both"/>
        <w:rPr>
          <w:rFonts w:ascii="Arial" w:eastAsia="Arial" w:hAnsi="Arial" w:cs="Arial"/>
          <w:sz w:val="24"/>
          <w:szCs w:val="24"/>
        </w:rPr>
      </w:pPr>
      <w:r w:rsidRPr="00843A92">
        <w:rPr>
          <w:rFonts w:ascii="Arial" w:eastAsia="Arial" w:hAnsi="Arial" w:cs="Arial"/>
          <w:sz w:val="24"/>
          <w:szCs w:val="24"/>
        </w:rPr>
        <w:t>Dependencia o sector: Secretaría de Desarrollo Agropecuario, Forestal y Pesca</w:t>
      </w:r>
    </w:p>
    <w:p w14:paraId="233DA2CF" w14:textId="77777777" w:rsidR="00457E53" w:rsidRPr="00843A92" w:rsidRDefault="00457E53" w:rsidP="00457E53">
      <w:pPr>
        <w:spacing w:after="0" w:line="240" w:lineRule="auto"/>
        <w:ind w:firstLine="708"/>
        <w:jc w:val="both"/>
        <w:rPr>
          <w:rFonts w:ascii="Arial" w:eastAsia="Arial" w:hAnsi="Arial" w:cs="Arial"/>
          <w:sz w:val="24"/>
          <w:szCs w:val="24"/>
        </w:rPr>
      </w:pPr>
      <w:r w:rsidRPr="00843A92">
        <w:rPr>
          <w:rFonts w:ascii="Arial" w:eastAsia="Arial" w:hAnsi="Arial" w:cs="Arial"/>
          <w:sz w:val="24"/>
          <w:szCs w:val="24"/>
        </w:rPr>
        <w:t>Fiduciario: HSBC</w:t>
      </w:r>
    </w:p>
    <w:p w14:paraId="0E9BAC74" w14:textId="77777777" w:rsidR="00457E53" w:rsidRPr="00843A92" w:rsidRDefault="00457E53" w:rsidP="00457E53">
      <w:pPr>
        <w:spacing w:after="0" w:line="240" w:lineRule="auto"/>
        <w:ind w:firstLine="708"/>
        <w:jc w:val="both"/>
        <w:rPr>
          <w:rFonts w:ascii="Arial" w:eastAsia="Arial" w:hAnsi="Arial" w:cs="Arial"/>
          <w:sz w:val="24"/>
          <w:szCs w:val="24"/>
        </w:rPr>
      </w:pPr>
      <w:r w:rsidRPr="00843A92">
        <w:rPr>
          <w:rFonts w:ascii="Arial" w:eastAsia="Arial" w:hAnsi="Arial" w:cs="Arial"/>
          <w:sz w:val="24"/>
          <w:szCs w:val="24"/>
        </w:rPr>
        <w:t>Contrato No: 167398</w:t>
      </w:r>
    </w:p>
    <w:p w14:paraId="05339C09" w14:textId="77777777" w:rsidR="00457E53" w:rsidRPr="00843A92" w:rsidRDefault="00457E53" w:rsidP="00457E53">
      <w:pPr>
        <w:spacing w:after="0" w:line="240" w:lineRule="auto"/>
        <w:ind w:firstLine="708"/>
        <w:jc w:val="both"/>
        <w:rPr>
          <w:rFonts w:ascii="Arial" w:eastAsia="Arial" w:hAnsi="Arial" w:cs="Arial"/>
          <w:sz w:val="24"/>
          <w:szCs w:val="24"/>
        </w:rPr>
      </w:pPr>
      <w:r w:rsidRPr="00843A92">
        <w:rPr>
          <w:rFonts w:ascii="Arial" w:eastAsia="Arial" w:hAnsi="Arial" w:cs="Arial"/>
          <w:sz w:val="24"/>
          <w:szCs w:val="24"/>
        </w:rPr>
        <w:t>Tipo: de Inversión y administración (garantías fiduciarias)</w:t>
      </w:r>
    </w:p>
    <w:p w14:paraId="27F5BA19" w14:textId="77777777" w:rsidR="00457E53" w:rsidRPr="00843A92" w:rsidRDefault="00457E53" w:rsidP="00457E53">
      <w:pPr>
        <w:spacing w:after="0" w:line="240" w:lineRule="auto"/>
        <w:ind w:firstLine="708"/>
        <w:jc w:val="both"/>
        <w:rPr>
          <w:rFonts w:ascii="Arial" w:eastAsia="Arial" w:hAnsi="Arial" w:cs="Arial"/>
          <w:sz w:val="24"/>
          <w:szCs w:val="24"/>
        </w:rPr>
      </w:pPr>
      <w:r w:rsidRPr="00843A92">
        <w:rPr>
          <w:rFonts w:ascii="Arial" w:eastAsia="Arial" w:hAnsi="Arial" w:cs="Arial"/>
          <w:sz w:val="24"/>
          <w:szCs w:val="24"/>
        </w:rPr>
        <w:t xml:space="preserve">Saldo: </w:t>
      </w:r>
      <w:r>
        <w:rPr>
          <w:rFonts w:ascii="Arial" w:eastAsia="Arial" w:hAnsi="Arial" w:cs="Arial"/>
          <w:b/>
          <w:sz w:val="24"/>
          <w:szCs w:val="24"/>
        </w:rPr>
        <w:t>$46</w:t>
      </w:r>
      <w:proofErr w:type="gramStart"/>
      <w:r>
        <w:rPr>
          <w:rFonts w:ascii="Arial" w:eastAsia="Arial" w:hAnsi="Arial" w:cs="Arial"/>
          <w:b/>
          <w:sz w:val="24"/>
          <w:szCs w:val="24"/>
        </w:rPr>
        <w:t>,879,589</w:t>
      </w:r>
      <w:proofErr w:type="gramEnd"/>
    </w:p>
    <w:p w14:paraId="18F106BC" w14:textId="77777777" w:rsidR="00457E53" w:rsidRPr="00843A92" w:rsidRDefault="00457E53" w:rsidP="00457E53">
      <w:pPr>
        <w:spacing w:after="0" w:line="240" w:lineRule="auto"/>
        <w:jc w:val="both"/>
        <w:rPr>
          <w:rFonts w:ascii="Arial" w:eastAsia="Arial" w:hAnsi="Arial" w:cs="Arial"/>
          <w:sz w:val="24"/>
          <w:szCs w:val="24"/>
        </w:rPr>
      </w:pPr>
    </w:p>
    <w:p w14:paraId="719C0FDE" w14:textId="77777777" w:rsidR="00457E53" w:rsidRDefault="00457E53" w:rsidP="00457E53">
      <w:pPr>
        <w:spacing w:after="0" w:line="240" w:lineRule="auto"/>
        <w:jc w:val="both"/>
        <w:rPr>
          <w:rFonts w:ascii="Arial" w:eastAsia="Arial" w:hAnsi="Arial" w:cs="Arial"/>
          <w:sz w:val="24"/>
          <w:szCs w:val="24"/>
        </w:rPr>
      </w:pPr>
      <w:r w:rsidRPr="00843A92">
        <w:rPr>
          <w:rFonts w:ascii="Arial" w:eastAsia="Arial" w:hAnsi="Arial" w:cs="Arial"/>
          <w:sz w:val="24"/>
          <w:szCs w:val="24"/>
        </w:rPr>
        <w:t xml:space="preserve">Constituido el 11 de Julio de 2002, entre sus fines destaca </w:t>
      </w:r>
      <w:r w:rsidRPr="00843A92">
        <w:rPr>
          <w:rFonts w:ascii="Arial" w:eastAsia="Arial" w:hAnsi="Arial" w:cs="Arial"/>
          <w:i/>
          <w:sz w:val="24"/>
          <w:szCs w:val="24"/>
        </w:rPr>
        <w:t>“facilitar el acceso al crédito para el desarrollo del sector agropecuario, a través de un mecanismo alterno de pago que garantice un porcentaje del crédito solicitado por los productores a las instituciones de financiamiento”</w:t>
      </w:r>
      <w:r w:rsidRPr="00843A92">
        <w:rPr>
          <w:rFonts w:ascii="Arial" w:eastAsia="Arial" w:hAnsi="Arial" w:cs="Arial"/>
          <w:sz w:val="24"/>
          <w:szCs w:val="24"/>
        </w:rPr>
        <w:t xml:space="preserve">. Para este trimestre, no se autorizaron liberaciones de recursos, por lo que el saldo solo se </w:t>
      </w:r>
      <w:proofErr w:type="spellStart"/>
      <w:r w:rsidRPr="00843A92">
        <w:rPr>
          <w:rFonts w:ascii="Arial" w:eastAsia="Arial" w:hAnsi="Arial" w:cs="Arial"/>
          <w:sz w:val="24"/>
          <w:szCs w:val="24"/>
        </w:rPr>
        <w:t>vió</w:t>
      </w:r>
      <w:proofErr w:type="spellEnd"/>
      <w:r w:rsidRPr="00843A92">
        <w:rPr>
          <w:rFonts w:ascii="Arial" w:eastAsia="Arial" w:hAnsi="Arial" w:cs="Arial"/>
          <w:sz w:val="24"/>
          <w:szCs w:val="24"/>
        </w:rPr>
        <w:t xml:space="preserve"> incrementado por los rendimientos financieros. El 64% del patrimonio total se encuentra garantizando créditos del sector agrícola.</w:t>
      </w:r>
    </w:p>
    <w:p w14:paraId="71F88B04" w14:textId="77777777" w:rsidR="000537F0" w:rsidRPr="00843A92" w:rsidRDefault="000537F0" w:rsidP="00457E53">
      <w:pPr>
        <w:spacing w:after="0" w:line="240" w:lineRule="auto"/>
        <w:jc w:val="both"/>
        <w:rPr>
          <w:rFonts w:ascii="Arial" w:eastAsia="Arial" w:hAnsi="Arial" w:cs="Arial"/>
          <w:sz w:val="24"/>
          <w:szCs w:val="24"/>
        </w:rPr>
      </w:pPr>
    </w:p>
    <w:p w14:paraId="0B19B2FC" w14:textId="77777777" w:rsidR="00457E53" w:rsidRPr="00843A92" w:rsidRDefault="00457E53" w:rsidP="00457E53">
      <w:pPr>
        <w:spacing w:after="0" w:line="240" w:lineRule="auto"/>
        <w:jc w:val="both"/>
        <w:rPr>
          <w:rFonts w:ascii="Arial" w:eastAsia="Arial" w:hAnsi="Arial" w:cs="Arial"/>
          <w:sz w:val="24"/>
          <w:szCs w:val="24"/>
        </w:rPr>
      </w:pPr>
    </w:p>
    <w:p w14:paraId="73F4206C" w14:textId="77777777" w:rsidR="00457E53" w:rsidRPr="00843A92" w:rsidRDefault="00457E53" w:rsidP="00457E53">
      <w:pPr>
        <w:numPr>
          <w:ilvl w:val="0"/>
          <w:numId w:val="23"/>
        </w:numPr>
        <w:pBdr>
          <w:top w:val="nil"/>
          <w:left w:val="nil"/>
          <w:bottom w:val="nil"/>
          <w:right w:val="nil"/>
          <w:between w:val="nil"/>
        </w:pBdr>
        <w:spacing w:after="0" w:line="240" w:lineRule="auto"/>
        <w:jc w:val="both"/>
        <w:rPr>
          <w:rFonts w:ascii="Arial" w:eastAsia="Arial" w:hAnsi="Arial" w:cs="Arial"/>
          <w:b/>
          <w:color w:val="000000"/>
          <w:sz w:val="24"/>
          <w:szCs w:val="24"/>
        </w:rPr>
      </w:pPr>
      <w:r w:rsidRPr="00843A92">
        <w:rPr>
          <w:rFonts w:ascii="Arial" w:eastAsia="Arial" w:hAnsi="Arial" w:cs="Arial"/>
          <w:b/>
          <w:color w:val="000000"/>
          <w:sz w:val="24"/>
          <w:szCs w:val="24"/>
        </w:rPr>
        <w:lastRenderedPageBreak/>
        <w:t>Fideicomiso Fondo de Apoyo a la Mujer. FAM</w:t>
      </w:r>
    </w:p>
    <w:p w14:paraId="778CB5E2" w14:textId="77777777" w:rsidR="00457E53" w:rsidRPr="00843A92" w:rsidRDefault="00457E53" w:rsidP="00457E53">
      <w:pPr>
        <w:spacing w:after="0" w:line="240" w:lineRule="auto"/>
        <w:ind w:firstLine="708"/>
        <w:jc w:val="both"/>
        <w:rPr>
          <w:rFonts w:ascii="Arial" w:eastAsia="Arial" w:hAnsi="Arial" w:cs="Arial"/>
          <w:sz w:val="24"/>
          <w:szCs w:val="24"/>
        </w:rPr>
      </w:pPr>
      <w:r w:rsidRPr="00843A92">
        <w:rPr>
          <w:rFonts w:ascii="Arial" w:eastAsia="Arial" w:hAnsi="Arial" w:cs="Arial"/>
          <w:sz w:val="24"/>
          <w:szCs w:val="24"/>
        </w:rPr>
        <w:t>Dependencia o sector: Secretaría de Desarrollo Agropecuario, Forestal y Pesca</w:t>
      </w:r>
    </w:p>
    <w:p w14:paraId="6C2A999B" w14:textId="77777777" w:rsidR="00457E53" w:rsidRPr="00843A92" w:rsidRDefault="00457E53" w:rsidP="00457E53">
      <w:pPr>
        <w:spacing w:after="0" w:line="240" w:lineRule="auto"/>
        <w:ind w:firstLine="708"/>
        <w:jc w:val="both"/>
        <w:rPr>
          <w:rFonts w:ascii="Arial" w:eastAsia="Arial" w:hAnsi="Arial" w:cs="Arial"/>
          <w:sz w:val="24"/>
          <w:szCs w:val="24"/>
        </w:rPr>
      </w:pPr>
      <w:r w:rsidRPr="00843A92">
        <w:rPr>
          <w:rFonts w:ascii="Arial" w:eastAsia="Arial" w:hAnsi="Arial" w:cs="Arial"/>
          <w:sz w:val="24"/>
          <w:szCs w:val="24"/>
        </w:rPr>
        <w:t>Fiduciario: Grupo Financiero Banorte</w:t>
      </w:r>
    </w:p>
    <w:p w14:paraId="3953CEEA" w14:textId="77777777" w:rsidR="00457E53" w:rsidRPr="00843A92" w:rsidRDefault="00457E53" w:rsidP="00457E53">
      <w:pPr>
        <w:spacing w:after="0" w:line="240" w:lineRule="auto"/>
        <w:ind w:firstLine="708"/>
        <w:jc w:val="both"/>
        <w:rPr>
          <w:rFonts w:ascii="Arial" w:eastAsia="Arial" w:hAnsi="Arial" w:cs="Arial"/>
          <w:sz w:val="24"/>
          <w:szCs w:val="24"/>
        </w:rPr>
      </w:pPr>
      <w:r w:rsidRPr="00843A92">
        <w:rPr>
          <w:rFonts w:ascii="Arial" w:eastAsia="Arial" w:hAnsi="Arial" w:cs="Arial"/>
          <w:sz w:val="24"/>
          <w:szCs w:val="24"/>
        </w:rPr>
        <w:t>Contrato No: 741621</w:t>
      </w:r>
    </w:p>
    <w:p w14:paraId="5F35A75F" w14:textId="77777777" w:rsidR="00457E53" w:rsidRPr="00843A92" w:rsidRDefault="00457E53" w:rsidP="00457E53">
      <w:pPr>
        <w:spacing w:after="0" w:line="240" w:lineRule="auto"/>
        <w:ind w:firstLine="708"/>
        <w:jc w:val="both"/>
        <w:rPr>
          <w:rFonts w:ascii="Arial" w:eastAsia="Arial" w:hAnsi="Arial" w:cs="Arial"/>
          <w:sz w:val="24"/>
          <w:szCs w:val="24"/>
        </w:rPr>
      </w:pPr>
      <w:r w:rsidRPr="00843A92">
        <w:rPr>
          <w:rFonts w:ascii="Arial" w:eastAsia="Arial" w:hAnsi="Arial" w:cs="Arial"/>
          <w:sz w:val="24"/>
          <w:szCs w:val="24"/>
        </w:rPr>
        <w:t>Tipo: de Inversión y fuente alterna de pago</w:t>
      </w:r>
    </w:p>
    <w:p w14:paraId="2862C27A" w14:textId="77777777" w:rsidR="00457E53" w:rsidRPr="00843A92" w:rsidRDefault="00457E53" w:rsidP="00457E53">
      <w:pPr>
        <w:spacing w:after="0" w:line="240" w:lineRule="auto"/>
        <w:ind w:firstLine="708"/>
        <w:jc w:val="both"/>
        <w:rPr>
          <w:rFonts w:ascii="Arial" w:eastAsia="Arial" w:hAnsi="Arial" w:cs="Arial"/>
          <w:b/>
          <w:sz w:val="24"/>
          <w:szCs w:val="24"/>
        </w:rPr>
      </w:pPr>
      <w:r w:rsidRPr="00843A92">
        <w:rPr>
          <w:rFonts w:ascii="Arial" w:eastAsia="Arial" w:hAnsi="Arial" w:cs="Arial"/>
          <w:sz w:val="24"/>
          <w:szCs w:val="24"/>
        </w:rPr>
        <w:t xml:space="preserve">Saldo: </w:t>
      </w:r>
      <w:r>
        <w:rPr>
          <w:rFonts w:ascii="Arial" w:eastAsia="Arial" w:hAnsi="Arial" w:cs="Arial"/>
          <w:b/>
          <w:sz w:val="24"/>
          <w:szCs w:val="24"/>
        </w:rPr>
        <w:t>$5</w:t>
      </w:r>
      <w:proofErr w:type="gramStart"/>
      <w:r>
        <w:rPr>
          <w:rFonts w:ascii="Arial" w:eastAsia="Arial" w:hAnsi="Arial" w:cs="Arial"/>
          <w:b/>
          <w:sz w:val="24"/>
          <w:szCs w:val="24"/>
        </w:rPr>
        <w:t>,408,155</w:t>
      </w:r>
      <w:proofErr w:type="gramEnd"/>
    </w:p>
    <w:p w14:paraId="6FCB896D" w14:textId="77777777" w:rsidR="00457E53" w:rsidRPr="00843A92" w:rsidRDefault="00457E53" w:rsidP="00457E53">
      <w:pPr>
        <w:spacing w:after="0" w:line="240" w:lineRule="auto"/>
        <w:ind w:firstLine="708"/>
        <w:jc w:val="both"/>
        <w:rPr>
          <w:rFonts w:ascii="Arial" w:eastAsia="Arial" w:hAnsi="Arial" w:cs="Arial"/>
          <w:b/>
          <w:sz w:val="24"/>
          <w:szCs w:val="24"/>
        </w:rPr>
      </w:pPr>
    </w:p>
    <w:p w14:paraId="6E6402E5" w14:textId="77777777" w:rsidR="00457E53" w:rsidRDefault="00457E53" w:rsidP="00457E53">
      <w:pPr>
        <w:spacing w:after="0" w:line="240" w:lineRule="auto"/>
        <w:jc w:val="both"/>
        <w:rPr>
          <w:rFonts w:ascii="Arial" w:eastAsia="Arial" w:hAnsi="Arial" w:cs="Arial"/>
          <w:sz w:val="24"/>
          <w:szCs w:val="24"/>
        </w:rPr>
      </w:pPr>
      <w:r w:rsidRPr="00843A92">
        <w:rPr>
          <w:rFonts w:ascii="Arial" w:eastAsia="Arial" w:hAnsi="Arial" w:cs="Arial"/>
          <w:sz w:val="24"/>
          <w:szCs w:val="24"/>
        </w:rPr>
        <w:t>Se constituye el 8 de septiembre de 2005, a fin de crear un Fondo destinado a garantías y pago de gastos (subsidio de tasa de interés y gastos de acompañamiento) que se generen para fomentar el desarrollo de mujeres y productores agropecuarios y/o rurales, mediante el otorgamiento de apoyos financieros.</w:t>
      </w:r>
      <w:r w:rsidRPr="00843A92">
        <w:rPr>
          <w:rFonts w:ascii="Arial" w:eastAsia="Arial" w:hAnsi="Arial" w:cs="Arial"/>
          <w:b/>
          <w:sz w:val="24"/>
          <w:szCs w:val="24"/>
        </w:rPr>
        <w:t xml:space="preserve"> </w:t>
      </w:r>
      <w:r w:rsidRPr="00843A92">
        <w:rPr>
          <w:rFonts w:ascii="Arial" w:eastAsia="Arial" w:hAnsi="Arial" w:cs="Arial"/>
          <w:sz w:val="24"/>
          <w:szCs w:val="24"/>
        </w:rPr>
        <w:t>El incremento en el patrimonio proviene de los productos financieros. Del patrimonio total el 55% se encuentra garantizando créditos de acuerdo a los fines del Fideicomiso.</w:t>
      </w:r>
    </w:p>
    <w:p w14:paraId="0DD00567" w14:textId="77777777" w:rsidR="00457E53" w:rsidRPr="00843A92" w:rsidRDefault="00457E53" w:rsidP="00457E53">
      <w:pPr>
        <w:spacing w:after="0" w:line="240" w:lineRule="auto"/>
        <w:jc w:val="both"/>
        <w:rPr>
          <w:rFonts w:ascii="Arial" w:eastAsia="Arial" w:hAnsi="Arial" w:cs="Arial"/>
          <w:sz w:val="24"/>
          <w:szCs w:val="24"/>
        </w:rPr>
      </w:pPr>
    </w:p>
    <w:p w14:paraId="006BFDCA" w14:textId="77777777" w:rsidR="00457E53" w:rsidRPr="00843A92" w:rsidRDefault="00457E53" w:rsidP="00457E53">
      <w:pPr>
        <w:numPr>
          <w:ilvl w:val="0"/>
          <w:numId w:val="23"/>
        </w:numPr>
        <w:pBdr>
          <w:top w:val="nil"/>
          <w:left w:val="nil"/>
          <w:bottom w:val="nil"/>
          <w:right w:val="nil"/>
          <w:between w:val="nil"/>
        </w:pBdr>
        <w:spacing w:after="0" w:line="240" w:lineRule="auto"/>
        <w:jc w:val="both"/>
        <w:rPr>
          <w:rFonts w:ascii="Arial" w:eastAsia="Arial" w:hAnsi="Arial" w:cs="Arial"/>
          <w:b/>
          <w:color w:val="000000"/>
          <w:sz w:val="24"/>
          <w:szCs w:val="24"/>
        </w:rPr>
      </w:pPr>
      <w:r w:rsidRPr="00843A92">
        <w:rPr>
          <w:rFonts w:ascii="Arial" w:eastAsia="Arial" w:hAnsi="Arial" w:cs="Arial"/>
          <w:b/>
          <w:color w:val="000000"/>
          <w:sz w:val="24"/>
          <w:szCs w:val="24"/>
        </w:rPr>
        <w:t>Fideicomiso Fondo de Fomento Agropecuario del Estado de Tabasco. FOFAE</w:t>
      </w:r>
    </w:p>
    <w:p w14:paraId="49F3D8CB" w14:textId="77777777" w:rsidR="00457E53" w:rsidRPr="00843A92" w:rsidRDefault="00457E53" w:rsidP="00457E53">
      <w:pPr>
        <w:pBdr>
          <w:top w:val="nil"/>
          <w:left w:val="nil"/>
          <w:bottom w:val="nil"/>
          <w:right w:val="nil"/>
          <w:between w:val="nil"/>
        </w:pBdr>
        <w:spacing w:after="0" w:line="240" w:lineRule="auto"/>
        <w:ind w:left="720"/>
        <w:jc w:val="both"/>
        <w:rPr>
          <w:rFonts w:ascii="Arial" w:eastAsia="Arial" w:hAnsi="Arial" w:cs="Arial"/>
          <w:color w:val="000000"/>
          <w:sz w:val="24"/>
          <w:szCs w:val="24"/>
        </w:rPr>
      </w:pPr>
      <w:r w:rsidRPr="00843A92">
        <w:rPr>
          <w:rFonts w:ascii="Arial" w:eastAsia="Arial" w:hAnsi="Arial" w:cs="Arial"/>
          <w:color w:val="000000"/>
          <w:sz w:val="24"/>
          <w:szCs w:val="24"/>
        </w:rPr>
        <w:t>Dependencia o sector: Secretaría de Desarrollo Agropecuario, Forestal y Pesca</w:t>
      </w:r>
    </w:p>
    <w:p w14:paraId="2AD0B63F" w14:textId="77777777" w:rsidR="00457E53" w:rsidRPr="00843A92" w:rsidRDefault="00457E53" w:rsidP="00457E53">
      <w:pPr>
        <w:pBdr>
          <w:top w:val="nil"/>
          <w:left w:val="nil"/>
          <w:bottom w:val="nil"/>
          <w:right w:val="nil"/>
          <w:between w:val="nil"/>
        </w:pBdr>
        <w:spacing w:after="0" w:line="240" w:lineRule="auto"/>
        <w:ind w:left="720"/>
        <w:jc w:val="both"/>
        <w:rPr>
          <w:rFonts w:ascii="Arial" w:eastAsia="Arial" w:hAnsi="Arial" w:cs="Arial"/>
          <w:color w:val="000000"/>
          <w:sz w:val="24"/>
          <w:szCs w:val="24"/>
        </w:rPr>
      </w:pPr>
      <w:r w:rsidRPr="00843A92">
        <w:rPr>
          <w:rFonts w:ascii="Arial" w:eastAsia="Arial" w:hAnsi="Arial" w:cs="Arial"/>
          <w:color w:val="000000"/>
          <w:sz w:val="24"/>
          <w:szCs w:val="24"/>
        </w:rPr>
        <w:t>Fiduciario: Scotiabank</w:t>
      </w:r>
    </w:p>
    <w:p w14:paraId="23EC4D4E" w14:textId="77777777" w:rsidR="00457E53" w:rsidRPr="00843A92" w:rsidRDefault="00457E53" w:rsidP="00457E53">
      <w:pPr>
        <w:pBdr>
          <w:top w:val="nil"/>
          <w:left w:val="nil"/>
          <w:bottom w:val="nil"/>
          <w:right w:val="nil"/>
          <w:between w:val="nil"/>
        </w:pBdr>
        <w:spacing w:after="0" w:line="240" w:lineRule="auto"/>
        <w:ind w:left="720"/>
        <w:jc w:val="both"/>
        <w:rPr>
          <w:rFonts w:ascii="Arial" w:eastAsia="Arial" w:hAnsi="Arial" w:cs="Arial"/>
          <w:color w:val="000000"/>
          <w:sz w:val="24"/>
          <w:szCs w:val="24"/>
        </w:rPr>
      </w:pPr>
      <w:r w:rsidRPr="00843A92">
        <w:rPr>
          <w:rFonts w:ascii="Arial" w:eastAsia="Arial" w:hAnsi="Arial" w:cs="Arial"/>
          <w:color w:val="000000"/>
          <w:sz w:val="24"/>
          <w:szCs w:val="24"/>
        </w:rPr>
        <w:t>Contrato No: 550030837</w:t>
      </w:r>
    </w:p>
    <w:p w14:paraId="3B5E6893" w14:textId="77777777" w:rsidR="00457E53" w:rsidRPr="00843A92" w:rsidRDefault="00457E53" w:rsidP="00457E53">
      <w:pPr>
        <w:pBdr>
          <w:top w:val="nil"/>
          <w:left w:val="nil"/>
          <w:bottom w:val="nil"/>
          <w:right w:val="nil"/>
          <w:between w:val="nil"/>
        </w:pBdr>
        <w:spacing w:after="0" w:line="240" w:lineRule="auto"/>
        <w:ind w:left="720"/>
        <w:jc w:val="both"/>
        <w:rPr>
          <w:rFonts w:ascii="Arial" w:eastAsia="Arial" w:hAnsi="Arial" w:cs="Arial"/>
          <w:color w:val="000000"/>
          <w:sz w:val="24"/>
          <w:szCs w:val="24"/>
        </w:rPr>
      </w:pPr>
      <w:r w:rsidRPr="00843A92">
        <w:rPr>
          <w:rFonts w:ascii="Arial" w:eastAsia="Arial" w:hAnsi="Arial" w:cs="Arial"/>
          <w:color w:val="000000"/>
          <w:sz w:val="24"/>
          <w:szCs w:val="24"/>
        </w:rPr>
        <w:t>Tipo: de Administración e inversión</w:t>
      </w:r>
    </w:p>
    <w:p w14:paraId="2FDEB4EE" w14:textId="630A9C9C" w:rsidR="00457E53" w:rsidRPr="00843A92" w:rsidRDefault="00457E53" w:rsidP="00457E53">
      <w:pPr>
        <w:pBdr>
          <w:top w:val="nil"/>
          <w:left w:val="nil"/>
          <w:bottom w:val="nil"/>
          <w:right w:val="nil"/>
          <w:between w:val="nil"/>
        </w:pBdr>
        <w:spacing w:after="0" w:line="240" w:lineRule="auto"/>
        <w:ind w:left="720"/>
        <w:jc w:val="both"/>
        <w:rPr>
          <w:rFonts w:ascii="Arial" w:eastAsia="Arial" w:hAnsi="Arial" w:cs="Arial"/>
          <w:b/>
          <w:color w:val="000000"/>
          <w:sz w:val="24"/>
          <w:szCs w:val="24"/>
        </w:rPr>
      </w:pPr>
      <w:r w:rsidRPr="00843A92">
        <w:rPr>
          <w:rFonts w:ascii="Arial" w:eastAsia="Arial" w:hAnsi="Arial" w:cs="Arial"/>
          <w:color w:val="000000"/>
          <w:sz w:val="24"/>
          <w:szCs w:val="24"/>
        </w:rPr>
        <w:t xml:space="preserve">Saldo: </w:t>
      </w:r>
      <w:r w:rsidRPr="00843A92">
        <w:rPr>
          <w:rFonts w:ascii="Arial" w:eastAsia="Arial" w:hAnsi="Arial" w:cs="Arial"/>
          <w:b/>
          <w:color w:val="000000"/>
          <w:sz w:val="24"/>
          <w:szCs w:val="24"/>
        </w:rPr>
        <w:t>$</w:t>
      </w:r>
      <w:r w:rsidR="00E5554F">
        <w:rPr>
          <w:rFonts w:ascii="Arial" w:eastAsia="Arial" w:hAnsi="Arial" w:cs="Arial"/>
          <w:b/>
          <w:color w:val="000000"/>
          <w:sz w:val="24"/>
          <w:szCs w:val="24"/>
        </w:rPr>
        <w:t xml:space="preserve"> 20</w:t>
      </w:r>
      <w:proofErr w:type="gramStart"/>
      <w:r>
        <w:rPr>
          <w:rFonts w:ascii="Arial" w:eastAsia="Arial" w:hAnsi="Arial" w:cs="Arial"/>
          <w:b/>
          <w:color w:val="000000"/>
          <w:sz w:val="24"/>
          <w:szCs w:val="24"/>
        </w:rPr>
        <w:t>,519,854</w:t>
      </w:r>
      <w:proofErr w:type="gramEnd"/>
    </w:p>
    <w:p w14:paraId="0DCFED06" w14:textId="77777777" w:rsidR="00457E53" w:rsidRPr="00843A92" w:rsidRDefault="00457E53" w:rsidP="00457E53">
      <w:pPr>
        <w:spacing w:after="0" w:line="240" w:lineRule="auto"/>
        <w:jc w:val="both"/>
        <w:rPr>
          <w:rFonts w:ascii="Arial" w:eastAsia="Arial" w:hAnsi="Arial" w:cs="Arial"/>
          <w:sz w:val="24"/>
          <w:szCs w:val="24"/>
        </w:rPr>
      </w:pPr>
    </w:p>
    <w:p w14:paraId="7CC4BB7E" w14:textId="77777777" w:rsidR="00457E53" w:rsidRPr="00843A92" w:rsidRDefault="00457E53" w:rsidP="00457E53">
      <w:pPr>
        <w:spacing w:after="0" w:line="240" w:lineRule="auto"/>
        <w:jc w:val="both"/>
        <w:rPr>
          <w:rFonts w:ascii="Arial" w:eastAsia="Arial" w:hAnsi="Arial" w:cs="Arial"/>
          <w:sz w:val="24"/>
          <w:szCs w:val="24"/>
        </w:rPr>
      </w:pPr>
      <w:r w:rsidRPr="00843A92">
        <w:rPr>
          <w:rFonts w:ascii="Arial" w:eastAsia="Arial" w:hAnsi="Arial" w:cs="Arial"/>
          <w:sz w:val="24"/>
          <w:szCs w:val="24"/>
        </w:rPr>
        <w:t>Constituido para el fomento de las actividades previstas en los anexos técnicos del Convenio suscrito entre el Ejecutivo Federal a través de la Secretaría de Agricultura, Ganadería y Desarrollo Rural y el Estado de Tabasco, del 26 de marzo de 1996, sin que pueda utilizar los recursos con otra finalidad o cambiar los programas sin la autorización previa de la mencionada dependencia. En el trimestre que se informa, se realizaron liberaciones de recursos de los Programas autorizados por el Comité Técnico, siendo las más significativas, los recursos Federales del Programa de Apoyo a la Infraestructura de CONAGUA, por 13.5 MDP, 6.5 MDP de recursos estatales del Programa Emergente del Banano y 8 MDP entre los Programas de INDISIA, Sanidad e Inocuidad Agroalimentaria y Desastres Naturales.</w:t>
      </w:r>
    </w:p>
    <w:p w14:paraId="2259D972" w14:textId="77777777" w:rsidR="00457E53" w:rsidRPr="00843A92" w:rsidRDefault="00457E53" w:rsidP="00457E53">
      <w:pPr>
        <w:spacing w:after="0" w:line="240" w:lineRule="auto"/>
        <w:jc w:val="both"/>
        <w:rPr>
          <w:rFonts w:ascii="Arial" w:eastAsia="Arial" w:hAnsi="Arial" w:cs="Arial"/>
          <w:sz w:val="24"/>
          <w:szCs w:val="24"/>
        </w:rPr>
      </w:pPr>
    </w:p>
    <w:p w14:paraId="6BF7A9E0" w14:textId="77777777" w:rsidR="00457E53" w:rsidRPr="00843A92" w:rsidRDefault="00457E53" w:rsidP="00457E53">
      <w:pPr>
        <w:numPr>
          <w:ilvl w:val="0"/>
          <w:numId w:val="23"/>
        </w:numPr>
        <w:pBdr>
          <w:top w:val="nil"/>
          <w:left w:val="nil"/>
          <w:bottom w:val="nil"/>
          <w:right w:val="nil"/>
          <w:between w:val="nil"/>
        </w:pBdr>
        <w:spacing w:after="0" w:line="240" w:lineRule="auto"/>
        <w:jc w:val="both"/>
        <w:rPr>
          <w:rFonts w:ascii="Arial" w:eastAsia="Arial" w:hAnsi="Arial" w:cs="Arial"/>
          <w:b/>
          <w:color w:val="000000"/>
          <w:sz w:val="24"/>
          <w:szCs w:val="24"/>
        </w:rPr>
      </w:pPr>
      <w:r w:rsidRPr="00843A92">
        <w:rPr>
          <w:rFonts w:ascii="Arial" w:eastAsia="Arial" w:hAnsi="Arial" w:cs="Arial"/>
          <w:b/>
          <w:color w:val="000000"/>
          <w:sz w:val="24"/>
          <w:szCs w:val="24"/>
        </w:rPr>
        <w:t>Fideicomiso Fondo de Garantía Mutualista Tabasco. FOGAMU</w:t>
      </w:r>
    </w:p>
    <w:p w14:paraId="173CF0D0" w14:textId="77777777" w:rsidR="00457E53" w:rsidRPr="00843A92" w:rsidRDefault="00457E53" w:rsidP="00457E53">
      <w:pPr>
        <w:pBdr>
          <w:top w:val="nil"/>
          <w:left w:val="nil"/>
          <w:bottom w:val="nil"/>
          <w:right w:val="nil"/>
          <w:between w:val="nil"/>
        </w:pBdr>
        <w:spacing w:after="0" w:line="240" w:lineRule="auto"/>
        <w:ind w:left="720"/>
        <w:jc w:val="both"/>
        <w:rPr>
          <w:rFonts w:ascii="Arial" w:eastAsia="Arial" w:hAnsi="Arial" w:cs="Arial"/>
          <w:color w:val="000000"/>
          <w:sz w:val="24"/>
          <w:szCs w:val="24"/>
        </w:rPr>
      </w:pPr>
      <w:r w:rsidRPr="00843A92">
        <w:rPr>
          <w:rFonts w:ascii="Arial" w:eastAsia="Arial" w:hAnsi="Arial" w:cs="Arial"/>
          <w:color w:val="000000"/>
          <w:sz w:val="24"/>
          <w:szCs w:val="24"/>
        </w:rPr>
        <w:t>Dependencia o sector: Secretaría de Desarrollo Agropecuario, Forestal y Pesca</w:t>
      </w:r>
    </w:p>
    <w:p w14:paraId="17EF078C" w14:textId="77777777" w:rsidR="00457E53" w:rsidRPr="00843A92" w:rsidRDefault="00457E53" w:rsidP="00457E53">
      <w:pPr>
        <w:pBdr>
          <w:top w:val="nil"/>
          <w:left w:val="nil"/>
          <w:bottom w:val="nil"/>
          <w:right w:val="nil"/>
          <w:between w:val="nil"/>
        </w:pBdr>
        <w:spacing w:after="0" w:line="240" w:lineRule="auto"/>
        <w:ind w:left="720"/>
        <w:jc w:val="both"/>
        <w:rPr>
          <w:rFonts w:ascii="Arial" w:eastAsia="Arial" w:hAnsi="Arial" w:cs="Arial"/>
          <w:color w:val="000000"/>
          <w:sz w:val="24"/>
          <w:szCs w:val="24"/>
        </w:rPr>
      </w:pPr>
      <w:r w:rsidRPr="00843A92">
        <w:rPr>
          <w:rFonts w:ascii="Arial" w:eastAsia="Arial" w:hAnsi="Arial" w:cs="Arial"/>
          <w:color w:val="000000"/>
          <w:sz w:val="24"/>
          <w:szCs w:val="24"/>
        </w:rPr>
        <w:t>Fiduciario: Grupo Financiero Banorte</w:t>
      </w:r>
    </w:p>
    <w:p w14:paraId="4801513D" w14:textId="77777777" w:rsidR="00457E53" w:rsidRPr="00843A92" w:rsidRDefault="00457E53" w:rsidP="00457E53">
      <w:pPr>
        <w:pBdr>
          <w:top w:val="nil"/>
          <w:left w:val="nil"/>
          <w:bottom w:val="nil"/>
          <w:right w:val="nil"/>
          <w:between w:val="nil"/>
        </w:pBdr>
        <w:spacing w:after="0" w:line="240" w:lineRule="auto"/>
        <w:ind w:left="720"/>
        <w:jc w:val="both"/>
        <w:rPr>
          <w:rFonts w:ascii="Arial" w:eastAsia="Arial" w:hAnsi="Arial" w:cs="Arial"/>
          <w:color w:val="000000"/>
          <w:sz w:val="24"/>
          <w:szCs w:val="24"/>
        </w:rPr>
      </w:pPr>
      <w:r w:rsidRPr="00843A92">
        <w:rPr>
          <w:rFonts w:ascii="Arial" w:eastAsia="Arial" w:hAnsi="Arial" w:cs="Arial"/>
          <w:color w:val="000000"/>
          <w:sz w:val="24"/>
          <w:szCs w:val="24"/>
        </w:rPr>
        <w:t>Contrato No: 741753</w:t>
      </w:r>
    </w:p>
    <w:p w14:paraId="759660A8" w14:textId="77777777" w:rsidR="00457E53" w:rsidRPr="00843A92" w:rsidRDefault="00457E53" w:rsidP="00457E53">
      <w:pPr>
        <w:pBdr>
          <w:top w:val="nil"/>
          <w:left w:val="nil"/>
          <w:bottom w:val="nil"/>
          <w:right w:val="nil"/>
          <w:between w:val="nil"/>
        </w:pBdr>
        <w:spacing w:after="0" w:line="240" w:lineRule="auto"/>
        <w:ind w:left="720"/>
        <w:jc w:val="both"/>
        <w:rPr>
          <w:rFonts w:ascii="Arial" w:eastAsia="Arial" w:hAnsi="Arial" w:cs="Arial"/>
          <w:color w:val="000000"/>
          <w:sz w:val="24"/>
          <w:szCs w:val="24"/>
        </w:rPr>
      </w:pPr>
      <w:r w:rsidRPr="00843A92">
        <w:rPr>
          <w:rFonts w:ascii="Arial" w:eastAsia="Arial" w:hAnsi="Arial" w:cs="Arial"/>
          <w:color w:val="000000"/>
          <w:sz w:val="24"/>
          <w:szCs w:val="24"/>
        </w:rPr>
        <w:t>Tipo de fideicomiso: Inversión, administración, fuente alterna de pago y garantía</w:t>
      </w:r>
    </w:p>
    <w:p w14:paraId="25070285" w14:textId="77777777" w:rsidR="00457E53" w:rsidRPr="00843A92" w:rsidRDefault="00457E53" w:rsidP="00457E53">
      <w:pPr>
        <w:pBdr>
          <w:top w:val="nil"/>
          <w:left w:val="nil"/>
          <w:bottom w:val="nil"/>
          <w:right w:val="nil"/>
          <w:between w:val="nil"/>
        </w:pBdr>
        <w:spacing w:after="0" w:line="240" w:lineRule="auto"/>
        <w:ind w:left="720"/>
        <w:jc w:val="both"/>
        <w:rPr>
          <w:rFonts w:ascii="Arial" w:eastAsia="Arial" w:hAnsi="Arial" w:cs="Arial"/>
          <w:color w:val="000000"/>
          <w:sz w:val="24"/>
          <w:szCs w:val="24"/>
        </w:rPr>
      </w:pPr>
      <w:r w:rsidRPr="00843A92">
        <w:rPr>
          <w:rFonts w:ascii="Arial" w:eastAsia="Arial" w:hAnsi="Arial" w:cs="Arial"/>
          <w:color w:val="000000"/>
          <w:sz w:val="24"/>
          <w:szCs w:val="24"/>
        </w:rPr>
        <w:t xml:space="preserve">Saldo: </w:t>
      </w:r>
      <w:r w:rsidRPr="00843A92">
        <w:rPr>
          <w:rFonts w:ascii="Arial" w:eastAsia="Arial" w:hAnsi="Arial" w:cs="Arial"/>
          <w:b/>
          <w:color w:val="000000"/>
          <w:sz w:val="24"/>
          <w:szCs w:val="24"/>
        </w:rPr>
        <w:t>$</w:t>
      </w:r>
      <w:r>
        <w:rPr>
          <w:rFonts w:ascii="Arial" w:eastAsia="Arial" w:hAnsi="Arial" w:cs="Arial"/>
          <w:b/>
          <w:sz w:val="24"/>
          <w:szCs w:val="24"/>
        </w:rPr>
        <w:t>33</w:t>
      </w:r>
      <w:proofErr w:type="gramStart"/>
      <w:r>
        <w:rPr>
          <w:rFonts w:ascii="Arial" w:eastAsia="Arial" w:hAnsi="Arial" w:cs="Arial"/>
          <w:b/>
          <w:sz w:val="24"/>
          <w:szCs w:val="24"/>
        </w:rPr>
        <w:t>,368,089</w:t>
      </w:r>
      <w:proofErr w:type="gramEnd"/>
    </w:p>
    <w:p w14:paraId="18F87AF7" w14:textId="77777777" w:rsidR="00457E53" w:rsidRPr="00843A92" w:rsidRDefault="00457E53" w:rsidP="00457E53">
      <w:pPr>
        <w:spacing w:after="0" w:line="240" w:lineRule="auto"/>
        <w:jc w:val="both"/>
        <w:rPr>
          <w:rFonts w:ascii="Arial" w:eastAsia="Arial" w:hAnsi="Arial" w:cs="Arial"/>
          <w:sz w:val="24"/>
          <w:szCs w:val="24"/>
        </w:rPr>
      </w:pPr>
    </w:p>
    <w:p w14:paraId="0F92169F" w14:textId="77777777" w:rsidR="00457E53" w:rsidRDefault="00457E53" w:rsidP="00457E53">
      <w:pPr>
        <w:spacing w:after="0" w:line="240" w:lineRule="auto"/>
        <w:jc w:val="both"/>
        <w:rPr>
          <w:rFonts w:ascii="Arial" w:eastAsia="Arial" w:hAnsi="Arial" w:cs="Arial"/>
          <w:sz w:val="24"/>
          <w:szCs w:val="24"/>
        </w:rPr>
      </w:pPr>
      <w:r w:rsidRPr="00843A92">
        <w:rPr>
          <w:rFonts w:ascii="Arial" w:eastAsia="Arial" w:hAnsi="Arial" w:cs="Arial"/>
          <w:sz w:val="24"/>
          <w:szCs w:val="24"/>
        </w:rPr>
        <w:lastRenderedPageBreak/>
        <w:t>Creado el 31 de diciembre de 2007. Actualmente se encuentra liberando garantías comprometidas con la finalidad de otorgar nuevas garantías. En el trimestre que se reporta se revirtieron al Fideicomitente 20 MDP, para financiar proyectos de desarrollo productivo del campo. Asimismo se hicieron afectaciones al patrimonio derivadas de garantías crediticias. Del patrimonio total el 40% se encuentra garantizando créditos de acuerdo a los fines del Fideicomiso.</w:t>
      </w:r>
    </w:p>
    <w:p w14:paraId="1C43E5EF" w14:textId="77777777" w:rsidR="00457E53" w:rsidRPr="00843A92" w:rsidRDefault="00457E53" w:rsidP="00457E53">
      <w:pPr>
        <w:spacing w:after="0" w:line="240" w:lineRule="auto"/>
        <w:jc w:val="both"/>
        <w:rPr>
          <w:rFonts w:ascii="Arial" w:eastAsia="Arial" w:hAnsi="Arial" w:cs="Arial"/>
          <w:sz w:val="24"/>
          <w:szCs w:val="24"/>
        </w:rPr>
      </w:pPr>
    </w:p>
    <w:p w14:paraId="73D8BD04" w14:textId="77777777" w:rsidR="00457E53" w:rsidRPr="00843A92" w:rsidRDefault="00457E53" w:rsidP="00457E53">
      <w:pPr>
        <w:pBdr>
          <w:top w:val="nil"/>
          <w:left w:val="nil"/>
          <w:bottom w:val="nil"/>
          <w:right w:val="nil"/>
          <w:between w:val="nil"/>
        </w:pBdr>
        <w:spacing w:after="0" w:line="240" w:lineRule="auto"/>
        <w:ind w:left="720"/>
        <w:jc w:val="both"/>
        <w:rPr>
          <w:rFonts w:ascii="Arial" w:eastAsia="Arial" w:hAnsi="Arial" w:cs="Arial"/>
          <w:sz w:val="24"/>
          <w:szCs w:val="24"/>
        </w:rPr>
      </w:pPr>
    </w:p>
    <w:p w14:paraId="5CD82F53" w14:textId="77777777" w:rsidR="00457E53" w:rsidRPr="00843A92" w:rsidRDefault="00457E53" w:rsidP="00457E53">
      <w:pPr>
        <w:numPr>
          <w:ilvl w:val="0"/>
          <w:numId w:val="25"/>
        </w:numPr>
        <w:pBdr>
          <w:top w:val="nil"/>
          <w:left w:val="nil"/>
          <w:bottom w:val="nil"/>
          <w:right w:val="nil"/>
          <w:between w:val="nil"/>
        </w:pBdr>
        <w:spacing w:after="0" w:line="240" w:lineRule="auto"/>
        <w:jc w:val="both"/>
        <w:rPr>
          <w:rFonts w:ascii="Arial" w:eastAsia="Arial" w:hAnsi="Arial" w:cs="Arial"/>
          <w:b/>
          <w:color w:val="000000"/>
          <w:sz w:val="24"/>
          <w:szCs w:val="24"/>
        </w:rPr>
      </w:pPr>
      <w:r w:rsidRPr="00843A92">
        <w:rPr>
          <w:rFonts w:ascii="Arial" w:eastAsia="Arial" w:hAnsi="Arial" w:cs="Arial"/>
          <w:b/>
          <w:color w:val="000000"/>
          <w:sz w:val="24"/>
          <w:szCs w:val="24"/>
        </w:rPr>
        <w:t>Fideicomiso Fondo de Garantía para las Empresas de Solidaridad del Estado de Tabasco. FOGATAB</w:t>
      </w:r>
    </w:p>
    <w:p w14:paraId="6C9C5A24" w14:textId="77777777" w:rsidR="00457E53" w:rsidRPr="00843A92" w:rsidRDefault="00457E53" w:rsidP="00457E53">
      <w:pPr>
        <w:spacing w:after="0" w:line="240" w:lineRule="auto"/>
        <w:ind w:firstLine="708"/>
        <w:jc w:val="both"/>
        <w:rPr>
          <w:rFonts w:ascii="Arial" w:eastAsia="Arial" w:hAnsi="Arial" w:cs="Arial"/>
          <w:sz w:val="24"/>
          <w:szCs w:val="24"/>
        </w:rPr>
      </w:pPr>
      <w:r w:rsidRPr="00843A92">
        <w:rPr>
          <w:rFonts w:ascii="Arial" w:eastAsia="Arial" w:hAnsi="Arial" w:cs="Arial"/>
          <w:sz w:val="24"/>
          <w:szCs w:val="24"/>
        </w:rPr>
        <w:t>Dependencia o sector: Secretaría de Desarrollo Agropecuario, Forestal y Pesca</w:t>
      </w:r>
    </w:p>
    <w:p w14:paraId="453B12DC" w14:textId="77777777" w:rsidR="00457E53" w:rsidRPr="00843A92" w:rsidRDefault="00457E53" w:rsidP="00457E53">
      <w:pPr>
        <w:spacing w:after="0" w:line="240" w:lineRule="auto"/>
        <w:ind w:firstLine="708"/>
        <w:jc w:val="both"/>
        <w:rPr>
          <w:rFonts w:ascii="Arial" w:eastAsia="Arial" w:hAnsi="Arial" w:cs="Arial"/>
          <w:sz w:val="24"/>
          <w:szCs w:val="24"/>
        </w:rPr>
      </w:pPr>
      <w:r w:rsidRPr="00843A92">
        <w:rPr>
          <w:rFonts w:ascii="Arial" w:eastAsia="Arial" w:hAnsi="Arial" w:cs="Arial"/>
          <w:sz w:val="24"/>
          <w:szCs w:val="24"/>
        </w:rPr>
        <w:t>Fiduciario: Scotiabank</w:t>
      </w:r>
    </w:p>
    <w:p w14:paraId="064F5E76" w14:textId="77777777" w:rsidR="00457E53" w:rsidRPr="00843A92" w:rsidRDefault="00457E53" w:rsidP="00457E53">
      <w:pPr>
        <w:spacing w:after="0" w:line="240" w:lineRule="auto"/>
        <w:ind w:firstLine="708"/>
        <w:jc w:val="both"/>
        <w:rPr>
          <w:rFonts w:ascii="Arial" w:eastAsia="Arial" w:hAnsi="Arial" w:cs="Arial"/>
          <w:sz w:val="24"/>
          <w:szCs w:val="24"/>
        </w:rPr>
      </w:pPr>
      <w:r w:rsidRPr="00843A92">
        <w:rPr>
          <w:rFonts w:ascii="Arial" w:eastAsia="Arial" w:hAnsi="Arial" w:cs="Arial"/>
          <w:sz w:val="24"/>
          <w:szCs w:val="24"/>
        </w:rPr>
        <w:t>Contrato No: 550031603</w:t>
      </w:r>
    </w:p>
    <w:p w14:paraId="2DE794DB" w14:textId="77777777" w:rsidR="00457E53" w:rsidRPr="00843A92" w:rsidRDefault="00457E53" w:rsidP="00457E53">
      <w:pPr>
        <w:spacing w:after="0" w:line="240" w:lineRule="auto"/>
        <w:ind w:firstLine="708"/>
        <w:jc w:val="both"/>
        <w:rPr>
          <w:rFonts w:ascii="Arial" w:eastAsia="Arial" w:hAnsi="Arial" w:cs="Arial"/>
          <w:sz w:val="24"/>
          <w:szCs w:val="24"/>
        </w:rPr>
      </w:pPr>
      <w:r w:rsidRPr="00843A92">
        <w:rPr>
          <w:rFonts w:ascii="Arial" w:eastAsia="Arial" w:hAnsi="Arial" w:cs="Arial"/>
          <w:sz w:val="24"/>
          <w:szCs w:val="24"/>
        </w:rPr>
        <w:t>Tipo: Irrevocable de inversión y garantía complementaria</w:t>
      </w:r>
    </w:p>
    <w:p w14:paraId="2846740C" w14:textId="77777777" w:rsidR="00457E53" w:rsidRDefault="00457E53" w:rsidP="00457E53">
      <w:pPr>
        <w:spacing w:after="0" w:line="240" w:lineRule="auto"/>
        <w:ind w:firstLine="708"/>
        <w:jc w:val="both"/>
        <w:rPr>
          <w:rFonts w:ascii="Arial" w:eastAsia="Arial" w:hAnsi="Arial" w:cs="Arial"/>
          <w:b/>
          <w:sz w:val="24"/>
          <w:szCs w:val="24"/>
        </w:rPr>
      </w:pPr>
      <w:r w:rsidRPr="00843A92">
        <w:rPr>
          <w:rFonts w:ascii="Arial" w:eastAsia="Arial" w:hAnsi="Arial" w:cs="Arial"/>
          <w:sz w:val="24"/>
          <w:szCs w:val="24"/>
        </w:rPr>
        <w:t xml:space="preserve">Saldo: </w:t>
      </w:r>
      <w:r>
        <w:rPr>
          <w:rFonts w:ascii="Arial" w:eastAsia="Arial" w:hAnsi="Arial" w:cs="Arial"/>
          <w:b/>
          <w:sz w:val="24"/>
          <w:szCs w:val="24"/>
        </w:rPr>
        <w:t>$ 23</w:t>
      </w:r>
      <w:proofErr w:type="gramStart"/>
      <w:r>
        <w:rPr>
          <w:rFonts w:ascii="Arial" w:eastAsia="Arial" w:hAnsi="Arial" w:cs="Arial"/>
          <w:b/>
          <w:sz w:val="24"/>
          <w:szCs w:val="24"/>
        </w:rPr>
        <w:t>,298,125</w:t>
      </w:r>
      <w:proofErr w:type="gramEnd"/>
    </w:p>
    <w:p w14:paraId="31DEA5B6" w14:textId="77777777" w:rsidR="00457E53" w:rsidRPr="00843A92" w:rsidRDefault="00457E53" w:rsidP="00457E53">
      <w:pPr>
        <w:spacing w:after="0" w:line="240" w:lineRule="auto"/>
        <w:jc w:val="both"/>
        <w:rPr>
          <w:rFonts w:ascii="Arial" w:eastAsia="Arial" w:hAnsi="Arial" w:cs="Arial"/>
          <w:sz w:val="24"/>
          <w:szCs w:val="24"/>
        </w:rPr>
      </w:pPr>
    </w:p>
    <w:p w14:paraId="4587F72E" w14:textId="77777777" w:rsidR="00457E53" w:rsidRPr="00843A92" w:rsidRDefault="00457E53" w:rsidP="00457E53">
      <w:pPr>
        <w:spacing w:after="0" w:line="240" w:lineRule="auto"/>
        <w:jc w:val="both"/>
        <w:rPr>
          <w:rFonts w:ascii="Arial" w:eastAsia="Arial" w:hAnsi="Arial" w:cs="Arial"/>
          <w:sz w:val="24"/>
          <w:szCs w:val="24"/>
        </w:rPr>
      </w:pPr>
      <w:r w:rsidRPr="00843A92">
        <w:rPr>
          <w:rFonts w:ascii="Arial" w:eastAsia="Arial" w:hAnsi="Arial" w:cs="Arial"/>
          <w:sz w:val="24"/>
          <w:szCs w:val="24"/>
        </w:rPr>
        <w:t>Constituido el 31 de mayo de 1994, tiene como fin crear un mecanismo de garantías complementarias, para asegurar el pago del porcentaje de las amortizaciones de los créditos a favor de los Fideicomisarios “B” en el impulso económico de desarrollo de los productores del Estado de Tabasco en los proyectos Agropecuarios, Pesqueros y Forestales. No cuenta con garantías crediticias vigentes. Se incrementa su patrimonio a través de las inversiones que se realizan en el Fideicomiso.</w:t>
      </w:r>
    </w:p>
    <w:p w14:paraId="0C22852B" w14:textId="77777777" w:rsidR="00457E53" w:rsidRPr="00843A92" w:rsidRDefault="00457E53" w:rsidP="00457E53">
      <w:pPr>
        <w:spacing w:after="0" w:line="240" w:lineRule="auto"/>
        <w:jc w:val="both"/>
        <w:rPr>
          <w:rFonts w:ascii="Arial" w:eastAsia="Arial" w:hAnsi="Arial" w:cs="Arial"/>
          <w:sz w:val="24"/>
          <w:szCs w:val="24"/>
        </w:rPr>
      </w:pPr>
    </w:p>
    <w:p w14:paraId="235B73DA" w14:textId="77777777" w:rsidR="00457E53" w:rsidRPr="00843A92" w:rsidRDefault="00457E53" w:rsidP="00457E53">
      <w:pPr>
        <w:numPr>
          <w:ilvl w:val="0"/>
          <w:numId w:val="24"/>
        </w:numPr>
        <w:pBdr>
          <w:top w:val="nil"/>
          <w:left w:val="nil"/>
          <w:bottom w:val="nil"/>
          <w:right w:val="nil"/>
          <w:between w:val="nil"/>
        </w:pBdr>
        <w:spacing w:after="0" w:line="240" w:lineRule="auto"/>
        <w:jc w:val="both"/>
        <w:rPr>
          <w:rFonts w:ascii="Arial" w:eastAsia="Arial" w:hAnsi="Arial" w:cs="Arial"/>
          <w:b/>
          <w:color w:val="000000"/>
          <w:sz w:val="24"/>
          <w:szCs w:val="24"/>
        </w:rPr>
      </w:pPr>
      <w:r w:rsidRPr="00843A92">
        <w:rPr>
          <w:rFonts w:ascii="Arial" w:eastAsia="Arial" w:hAnsi="Arial" w:cs="Arial"/>
          <w:b/>
          <w:color w:val="000000"/>
          <w:sz w:val="24"/>
          <w:szCs w:val="24"/>
        </w:rPr>
        <w:t>Fideicomiso para el Programa Tecnologías Educativas y de la Información para el  Magisterio de Educación Básica del Estado de Tabasco. FOAPES</w:t>
      </w:r>
    </w:p>
    <w:p w14:paraId="067832A3" w14:textId="77777777" w:rsidR="00457E53" w:rsidRPr="00843A92" w:rsidRDefault="00457E53" w:rsidP="00457E53">
      <w:pPr>
        <w:spacing w:after="0" w:line="240" w:lineRule="auto"/>
        <w:ind w:left="372" w:firstLine="348"/>
        <w:jc w:val="both"/>
        <w:rPr>
          <w:rFonts w:ascii="Arial" w:eastAsia="Arial" w:hAnsi="Arial" w:cs="Arial"/>
          <w:sz w:val="24"/>
          <w:szCs w:val="24"/>
        </w:rPr>
      </w:pPr>
      <w:r w:rsidRPr="00843A92">
        <w:rPr>
          <w:rFonts w:ascii="Arial" w:eastAsia="Arial" w:hAnsi="Arial" w:cs="Arial"/>
          <w:sz w:val="24"/>
          <w:szCs w:val="24"/>
        </w:rPr>
        <w:t>Dependencia o sector: Secretaría de Educación</w:t>
      </w:r>
    </w:p>
    <w:p w14:paraId="4C3B52C8" w14:textId="77777777" w:rsidR="00457E53" w:rsidRPr="00843A92" w:rsidRDefault="00457E53" w:rsidP="00457E53">
      <w:pPr>
        <w:spacing w:after="0" w:line="240" w:lineRule="auto"/>
        <w:ind w:left="720"/>
        <w:jc w:val="both"/>
        <w:rPr>
          <w:rFonts w:ascii="Arial" w:eastAsia="Arial" w:hAnsi="Arial" w:cs="Arial"/>
          <w:sz w:val="24"/>
          <w:szCs w:val="24"/>
        </w:rPr>
      </w:pPr>
      <w:r w:rsidRPr="00843A92">
        <w:rPr>
          <w:rFonts w:ascii="Arial" w:eastAsia="Arial" w:hAnsi="Arial" w:cs="Arial"/>
          <w:sz w:val="24"/>
          <w:szCs w:val="24"/>
        </w:rPr>
        <w:t xml:space="preserve">Fiduciario: </w:t>
      </w:r>
      <w:proofErr w:type="spellStart"/>
      <w:r w:rsidRPr="00843A92">
        <w:rPr>
          <w:rFonts w:ascii="Arial" w:eastAsia="Arial" w:hAnsi="Arial" w:cs="Arial"/>
          <w:sz w:val="24"/>
          <w:szCs w:val="24"/>
        </w:rPr>
        <w:t>Citibanamex</w:t>
      </w:r>
      <w:proofErr w:type="spellEnd"/>
      <w:r w:rsidRPr="00843A92">
        <w:rPr>
          <w:rFonts w:ascii="Arial" w:eastAsia="Arial" w:hAnsi="Arial" w:cs="Arial"/>
          <w:sz w:val="24"/>
          <w:szCs w:val="24"/>
        </w:rPr>
        <w:t xml:space="preserve"> </w:t>
      </w:r>
    </w:p>
    <w:p w14:paraId="1AE3AC02" w14:textId="77777777" w:rsidR="00457E53" w:rsidRPr="00843A92" w:rsidRDefault="00457E53" w:rsidP="00457E53">
      <w:pPr>
        <w:spacing w:after="0" w:line="240" w:lineRule="auto"/>
        <w:ind w:left="372" w:firstLine="348"/>
        <w:jc w:val="both"/>
        <w:rPr>
          <w:rFonts w:ascii="Arial" w:eastAsia="Arial" w:hAnsi="Arial" w:cs="Arial"/>
          <w:sz w:val="24"/>
          <w:szCs w:val="24"/>
        </w:rPr>
      </w:pPr>
      <w:r w:rsidRPr="00843A92">
        <w:rPr>
          <w:rFonts w:ascii="Arial" w:eastAsia="Arial" w:hAnsi="Arial" w:cs="Arial"/>
          <w:sz w:val="24"/>
          <w:szCs w:val="24"/>
        </w:rPr>
        <w:t>Contrato No: 165055-4</w:t>
      </w:r>
    </w:p>
    <w:p w14:paraId="2B4A8B0A" w14:textId="77777777" w:rsidR="00457E53" w:rsidRPr="00843A92" w:rsidRDefault="00457E53" w:rsidP="00457E53">
      <w:pPr>
        <w:spacing w:after="0" w:line="240" w:lineRule="auto"/>
        <w:ind w:left="372" w:firstLine="348"/>
        <w:jc w:val="both"/>
        <w:rPr>
          <w:rFonts w:ascii="Arial" w:eastAsia="Arial" w:hAnsi="Arial" w:cs="Arial"/>
          <w:sz w:val="24"/>
          <w:szCs w:val="24"/>
        </w:rPr>
      </w:pPr>
      <w:r w:rsidRPr="00843A92">
        <w:rPr>
          <w:rFonts w:ascii="Arial" w:eastAsia="Arial" w:hAnsi="Arial" w:cs="Arial"/>
          <w:sz w:val="24"/>
          <w:szCs w:val="24"/>
        </w:rPr>
        <w:t>Tipo de fideicomiso: Inversión y administración</w:t>
      </w:r>
    </w:p>
    <w:p w14:paraId="65C4CEF4" w14:textId="77777777" w:rsidR="00457E53" w:rsidRPr="00843A92" w:rsidRDefault="00457E53" w:rsidP="00457E53">
      <w:pPr>
        <w:spacing w:after="0" w:line="240" w:lineRule="auto"/>
        <w:ind w:left="372" w:firstLine="348"/>
        <w:jc w:val="both"/>
        <w:rPr>
          <w:rFonts w:ascii="Arial" w:eastAsia="Arial" w:hAnsi="Arial" w:cs="Arial"/>
          <w:b/>
          <w:sz w:val="24"/>
          <w:szCs w:val="24"/>
        </w:rPr>
      </w:pPr>
      <w:r w:rsidRPr="00843A92">
        <w:rPr>
          <w:rFonts w:ascii="Arial" w:eastAsia="Arial" w:hAnsi="Arial" w:cs="Arial"/>
          <w:sz w:val="24"/>
          <w:szCs w:val="24"/>
        </w:rPr>
        <w:t xml:space="preserve">Saldo: </w:t>
      </w:r>
      <w:r w:rsidRPr="00843A92">
        <w:rPr>
          <w:rFonts w:ascii="Arial" w:eastAsia="Arial" w:hAnsi="Arial" w:cs="Arial"/>
          <w:b/>
          <w:sz w:val="24"/>
          <w:szCs w:val="24"/>
        </w:rPr>
        <w:t>$</w:t>
      </w:r>
      <w:r>
        <w:rPr>
          <w:rFonts w:ascii="Arial" w:eastAsia="Arial" w:hAnsi="Arial" w:cs="Arial"/>
          <w:b/>
          <w:sz w:val="24"/>
          <w:szCs w:val="24"/>
        </w:rPr>
        <w:t>8</w:t>
      </w:r>
      <w:proofErr w:type="gramStart"/>
      <w:r>
        <w:rPr>
          <w:rFonts w:ascii="Arial" w:eastAsia="Arial" w:hAnsi="Arial" w:cs="Arial"/>
          <w:b/>
          <w:sz w:val="24"/>
          <w:szCs w:val="24"/>
        </w:rPr>
        <w:t>,096,618</w:t>
      </w:r>
      <w:proofErr w:type="gramEnd"/>
    </w:p>
    <w:p w14:paraId="4A445C0E" w14:textId="77777777" w:rsidR="00457E53" w:rsidRPr="00843A92" w:rsidRDefault="00457E53" w:rsidP="00457E53">
      <w:pPr>
        <w:spacing w:after="0" w:line="240" w:lineRule="auto"/>
        <w:ind w:left="372" w:firstLine="348"/>
        <w:jc w:val="both"/>
        <w:rPr>
          <w:rFonts w:ascii="Arial" w:eastAsia="Arial" w:hAnsi="Arial" w:cs="Arial"/>
          <w:b/>
          <w:sz w:val="24"/>
          <w:szCs w:val="24"/>
        </w:rPr>
      </w:pPr>
    </w:p>
    <w:p w14:paraId="3B8C50C4" w14:textId="77777777" w:rsidR="00457E53" w:rsidRPr="00843A92" w:rsidRDefault="00457E53" w:rsidP="00457E53">
      <w:pPr>
        <w:spacing w:after="0" w:line="240" w:lineRule="auto"/>
        <w:jc w:val="both"/>
        <w:rPr>
          <w:rFonts w:ascii="Arial" w:eastAsia="Arial" w:hAnsi="Arial" w:cs="Arial"/>
          <w:sz w:val="24"/>
          <w:szCs w:val="24"/>
        </w:rPr>
      </w:pPr>
      <w:r w:rsidRPr="00843A92">
        <w:rPr>
          <w:rFonts w:ascii="Arial" w:eastAsia="Arial" w:hAnsi="Arial" w:cs="Arial"/>
          <w:sz w:val="24"/>
          <w:szCs w:val="24"/>
        </w:rPr>
        <w:t xml:space="preserve">Constituido en el año 2002; del 2011 al 14 se llevó a cabo el proyecto de </w:t>
      </w:r>
      <w:r w:rsidRPr="00843A92">
        <w:rPr>
          <w:rFonts w:ascii="Arial" w:eastAsia="Arial" w:hAnsi="Arial" w:cs="Arial"/>
          <w:i/>
          <w:sz w:val="24"/>
          <w:szCs w:val="24"/>
        </w:rPr>
        <w:t>“Apoyo de Tecnologías Educativas y de la Información para Maestros de la Educación Básica”</w:t>
      </w:r>
      <w:r w:rsidRPr="00843A92">
        <w:rPr>
          <w:rFonts w:ascii="Arial" w:eastAsia="Arial" w:hAnsi="Arial" w:cs="Arial"/>
          <w:sz w:val="24"/>
          <w:szCs w:val="24"/>
        </w:rPr>
        <w:t>. Posterior a ello, ha permanecido sin operaciones. Su patrimonio se compone de las aportaciones iniciales más los rendimientos financieros. En lo que va del 2021, no ha recibido nuevas aportaciones y su patrimonio se incrementa de a través de los rendimientos financieros.</w:t>
      </w:r>
    </w:p>
    <w:p w14:paraId="11033437" w14:textId="77777777" w:rsidR="00457E53" w:rsidRPr="00843A92" w:rsidRDefault="00457E53" w:rsidP="00457E53">
      <w:pPr>
        <w:spacing w:after="0" w:line="240" w:lineRule="auto"/>
        <w:jc w:val="both"/>
        <w:rPr>
          <w:rFonts w:ascii="Arial" w:eastAsia="Arial" w:hAnsi="Arial" w:cs="Arial"/>
          <w:sz w:val="24"/>
          <w:szCs w:val="24"/>
        </w:rPr>
      </w:pPr>
      <w:r w:rsidRPr="00843A92">
        <w:rPr>
          <w:rFonts w:ascii="Arial" w:eastAsia="Arial" w:hAnsi="Arial" w:cs="Arial"/>
          <w:sz w:val="24"/>
          <w:szCs w:val="24"/>
        </w:rPr>
        <w:t xml:space="preserve"> </w:t>
      </w:r>
    </w:p>
    <w:p w14:paraId="42F6E09F" w14:textId="77777777" w:rsidR="00457E53" w:rsidRPr="00843A92" w:rsidRDefault="00457E53" w:rsidP="00FC4DCF">
      <w:pPr>
        <w:numPr>
          <w:ilvl w:val="0"/>
          <w:numId w:val="24"/>
        </w:numPr>
        <w:pBdr>
          <w:top w:val="nil"/>
          <w:left w:val="nil"/>
          <w:bottom w:val="nil"/>
          <w:right w:val="nil"/>
          <w:between w:val="nil"/>
        </w:pBdr>
        <w:spacing w:after="0" w:line="240" w:lineRule="auto"/>
        <w:ind w:left="709" w:hanging="425"/>
        <w:jc w:val="both"/>
        <w:rPr>
          <w:rFonts w:ascii="Arial" w:eastAsia="Arial" w:hAnsi="Arial" w:cs="Arial"/>
          <w:b/>
          <w:color w:val="000000"/>
          <w:sz w:val="24"/>
          <w:szCs w:val="24"/>
        </w:rPr>
      </w:pPr>
      <w:r w:rsidRPr="00843A92">
        <w:rPr>
          <w:rFonts w:ascii="Arial" w:eastAsia="Arial" w:hAnsi="Arial" w:cs="Arial"/>
          <w:b/>
          <w:color w:val="000000"/>
          <w:sz w:val="24"/>
          <w:szCs w:val="24"/>
        </w:rPr>
        <w:t>Fideicomiso Fondo de Vivienda para el Magisterio del Estado de Tabasco.  FOVIMTAB</w:t>
      </w:r>
    </w:p>
    <w:p w14:paraId="141407E9" w14:textId="77777777" w:rsidR="00457E53" w:rsidRPr="00843A92" w:rsidRDefault="00457E53" w:rsidP="00457E53">
      <w:pPr>
        <w:spacing w:after="0" w:line="240" w:lineRule="auto"/>
        <w:ind w:firstLine="708"/>
        <w:jc w:val="both"/>
        <w:rPr>
          <w:rFonts w:ascii="Arial" w:eastAsia="Arial" w:hAnsi="Arial" w:cs="Arial"/>
          <w:sz w:val="24"/>
          <w:szCs w:val="24"/>
        </w:rPr>
      </w:pPr>
      <w:r w:rsidRPr="00843A92">
        <w:rPr>
          <w:rFonts w:ascii="Arial" w:eastAsia="Arial" w:hAnsi="Arial" w:cs="Arial"/>
          <w:sz w:val="24"/>
          <w:szCs w:val="24"/>
        </w:rPr>
        <w:t>Dependencia o sector: Secretaría de Educación</w:t>
      </w:r>
    </w:p>
    <w:p w14:paraId="5F802872" w14:textId="77777777" w:rsidR="00457E53" w:rsidRPr="00843A92" w:rsidRDefault="00457E53" w:rsidP="00457E53">
      <w:pPr>
        <w:spacing w:after="0" w:line="240" w:lineRule="auto"/>
        <w:ind w:left="708"/>
        <w:jc w:val="both"/>
        <w:rPr>
          <w:rFonts w:ascii="Arial" w:eastAsia="Arial" w:hAnsi="Arial" w:cs="Arial"/>
          <w:sz w:val="24"/>
          <w:szCs w:val="24"/>
        </w:rPr>
      </w:pPr>
      <w:r w:rsidRPr="00843A92">
        <w:rPr>
          <w:rFonts w:ascii="Arial" w:eastAsia="Arial" w:hAnsi="Arial" w:cs="Arial"/>
          <w:sz w:val="24"/>
          <w:szCs w:val="24"/>
        </w:rPr>
        <w:t xml:space="preserve">Fiduciario: </w:t>
      </w:r>
      <w:proofErr w:type="spellStart"/>
      <w:r w:rsidRPr="00843A92">
        <w:rPr>
          <w:rFonts w:ascii="Arial" w:eastAsia="Arial" w:hAnsi="Arial" w:cs="Arial"/>
          <w:sz w:val="24"/>
          <w:szCs w:val="24"/>
        </w:rPr>
        <w:t>Citibanamex</w:t>
      </w:r>
      <w:proofErr w:type="spellEnd"/>
      <w:r w:rsidRPr="00843A92">
        <w:rPr>
          <w:rFonts w:ascii="Arial" w:eastAsia="Arial" w:hAnsi="Arial" w:cs="Arial"/>
          <w:sz w:val="24"/>
          <w:szCs w:val="24"/>
        </w:rPr>
        <w:t xml:space="preserve"> </w:t>
      </w:r>
    </w:p>
    <w:p w14:paraId="529C7D19" w14:textId="77777777" w:rsidR="00457E53" w:rsidRPr="00843A92" w:rsidRDefault="00457E53" w:rsidP="00457E53">
      <w:pPr>
        <w:spacing w:after="0" w:line="240" w:lineRule="auto"/>
        <w:ind w:firstLine="708"/>
        <w:jc w:val="both"/>
        <w:rPr>
          <w:rFonts w:ascii="Arial" w:eastAsia="Arial" w:hAnsi="Arial" w:cs="Arial"/>
          <w:sz w:val="24"/>
          <w:szCs w:val="24"/>
        </w:rPr>
      </w:pPr>
      <w:r w:rsidRPr="00843A92">
        <w:rPr>
          <w:rFonts w:ascii="Arial" w:eastAsia="Arial" w:hAnsi="Arial" w:cs="Arial"/>
          <w:sz w:val="24"/>
          <w:szCs w:val="24"/>
        </w:rPr>
        <w:t>Contrato No: 165005-8</w:t>
      </w:r>
    </w:p>
    <w:p w14:paraId="58780032" w14:textId="77777777" w:rsidR="00457E53" w:rsidRPr="00843A92" w:rsidRDefault="00457E53" w:rsidP="00457E53">
      <w:pPr>
        <w:spacing w:after="0" w:line="240" w:lineRule="auto"/>
        <w:ind w:firstLine="708"/>
        <w:jc w:val="both"/>
        <w:rPr>
          <w:rFonts w:ascii="Arial" w:eastAsia="Arial" w:hAnsi="Arial" w:cs="Arial"/>
          <w:sz w:val="24"/>
          <w:szCs w:val="24"/>
        </w:rPr>
      </w:pPr>
      <w:r w:rsidRPr="00843A92">
        <w:rPr>
          <w:rFonts w:ascii="Arial" w:eastAsia="Arial" w:hAnsi="Arial" w:cs="Arial"/>
          <w:sz w:val="24"/>
          <w:szCs w:val="24"/>
        </w:rPr>
        <w:lastRenderedPageBreak/>
        <w:t>Tipo: de Administración e inversión</w:t>
      </w:r>
    </w:p>
    <w:p w14:paraId="0EAC6F62" w14:textId="77777777" w:rsidR="00457E53" w:rsidRPr="00843A92" w:rsidRDefault="00457E53" w:rsidP="00457E53">
      <w:pPr>
        <w:spacing w:after="0" w:line="240" w:lineRule="auto"/>
        <w:ind w:firstLine="708"/>
        <w:jc w:val="both"/>
        <w:rPr>
          <w:rFonts w:ascii="Arial" w:eastAsia="Arial" w:hAnsi="Arial" w:cs="Arial"/>
          <w:sz w:val="24"/>
          <w:szCs w:val="24"/>
        </w:rPr>
      </w:pPr>
      <w:r w:rsidRPr="00843A92">
        <w:rPr>
          <w:rFonts w:ascii="Arial" w:eastAsia="Arial" w:hAnsi="Arial" w:cs="Arial"/>
          <w:sz w:val="24"/>
          <w:szCs w:val="24"/>
        </w:rPr>
        <w:t xml:space="preserve">Saldo: </w:t>
      </w:r>
      <w:r>
        <w:rPr>
          <w:rFonts w:ascii="Arial" w:eastAsia="Arial" w:hAnsi="Arial" w:cs="Arial"/>
          <w:b/>
          <w:sz w:val="24"/>
          <w:szCs w:val="24"/>
        </w:rPr>
        <w:t>$22</w:t>
      </w:r>
      <w:proofErr w:type="gramStart"/>
      <w:r>
        <w:rPr>
          <w:rFonts w:ascii="Arial" w:eastAsia="Arial" w:hAnsi="Arial" w:cs="Arial"/>
          <w:b/>
          <w:sz w:val="24"/>
          <w:szCs w:val="24"/>
        </w:rPr>
        <w:t>,429,505</w:t>
      </w:r>
      <w:proofErr w:type="gramEnd"/>
    </w:p>
    <w:p w14:paraId="0839C7B0" w14:textId="77777777" w:rsidR="00457E53" w:rsidRPr="00843A92" w:rsidRDefault="00457E53" w:rsidP="00457E53">
      <w:pPr>
        <w:spacing w:after="0" w:line="240" w:lineRule="auto"/>
        <w:ind w:firstLine="708"/>
        <w:jc w:val="both"/>
        <w:rPr>
          <w:rFonts w:ascii="Arial" w:eastAsia="Arial" w:hAnsi="Arial" w:cs="Arial"/>
          <w:sz w:val="24"/>
          <w:szCs w:val="24"/>
        </w:rPr>
      </w:pPr>
    </w:p>
    <w:p w14:paraId="2BAE708C" w14:textId="77777777" w:rsidR="00457E53" w:rsidRDefault="00457E53" w:rsidP="00457E53">
      <w:pPr>
        <w:spacing w:after="0" w:line="240" w:lineRule="auto"/>
        <w:jc w:val="both"/>
        <w:rPr>
          <w:rFonts w:ascii="Arial" w:eastAsia="Arial" w:hAnsi="Arial" w:cs="Arial"/>
          <w:sz w:val="24"/>
          <w:szCs w:val="24"/>
        </w:rPr>
      </w:pPr>
      <w:r w:rsidRPr="00843A92">
        <w:rPr>
          <w:rFonts w:ascii="Arial" w:eastAsia="Arial" w:hAnsi="Arial" w:cs="Arial"/>
          <w:sz w:val="24"/>
          <w:szCs w:val="24"/>
        </w:rPr>
        <w:t>Creado el 9 de febrero de 1995, no se encuentra en operación.</w:t>
      </w:r>
      <w:r w:rsidRPr="00843A92">
        <w:rPr>
          <w:rFonts w:ascii="Arial" w:eastAsia="Arial" w:hAnsi="Arial" w:cs="Arial"/>
          <w:b/>
          <w:sz w:val="24"/>
          <w:szCs w:val="24"/>
        </w:rPr>
        <w:t xml:space="preserve"> </w:t>
      </w:r>
      <w:r w:rsidRPr="00843A92">
        <w:rPr>
          <w:rFonts w:ascii="Arial" w:eastAsia="Arial" w:hAnsi="Arial" w:cs="Arial"/>
          <w:sz w:val="24"/>
          <w:szCs w:val="24"/>
        </w:rPr>
        <w:t>El objetivo primordial del Fondo de Vivienda para el Magisterio del Estado de Tabasco es la creación de un fondo de financiamiento para el pago del enganche, gastos de escrituración y otros, relacionados con el financiamiento para la adquisición de vivienda que deben cubrir los maestros beneficiados con créditos hipotecarios. Su patrimonio se compone de las aportaciones iniciales más los rendimientos financieros de ejercicios anteriores y del presente ejercicio.</w:t>
      </w:r>
    </w:p>
    <w:p w14:paraId="5E207AE2" w14:textId="77777777" w:rsidR="00457E53" w:rsidRPr="00843A92" w:rsidRDefault="00457E53" w:rsidP="00457E53">
      <w:pPr>
        <w:spacing w:after="0" w:line="240" w:lineRule="auto"/>
        <w:jc w:val="both"/>
        <w:rPr>
          <w:rFonts w:ascii="Arial" w:eastAsia="Arial" w:hAnsi="Arial" w:cs="Arial"/>
          <w:sz w:val="24"/>
          <w:szCs w:val="24"/>
        </w:rPr>
      </w:pPr>
    </w:p>
    <w:p w14:paraId="1F1709A5" w14:textId="77777777" w:rsidR="00457E53" w:rsidRPr="00843A92" w:rsidRDefault="00457E53" w:rsidP="00457E53">
      <w:pPr>
        <w:numPr>
          <w:ilvl w:val="0"/>
          <w:numId w:val="24"/>
        </w:numPr>
        <w:pBdr>
          <w:top w:val="nil"/>
          <w:left w:val="nil"/>
          <w:bottom w:val="nil"/>
          <w:right w:val="nil"/>
          <w:between w:val="nil"/>
        </w:pBdr>
        <w:spacing w:after="0" w:line="240" w:lineRule="auto"/>
        <w:ind w:left="851" w:hanging="491"/>
        <w:jc w:val="both"/>
        <w:rPr>
          <w:rFonts w:ascii="Arial" w:eastAsia="Arial" w:hAnsi="Arial" w:cs="Arial"/>
          <w:b/>
          <w:color w:val="000000"/>
          <w:sz w:val="24"/>
          <w:szCs w:val="24"/>
        </w:rPr>
      </w:pPr>
      <w:r w:rsidRPr="00843A92">
        <w:rPr>
          <w:rFonts w:ascii="Arial" w:eastAsia="Arial" w:hAnsi="Arial" w:cs="Arial"/>
          <w:b/>
          <w:color w:val="000000"/>
          <w:sz w:val="24"/>
          <w:szCs w:val="24"/>
        </w:rPr>
        <w:t xml:space="preserve">Fideicomiso </w:t>
      </w:r>
      <w:r w:rsidRPr="00843A92">
        <w:rPr>
          <w:rFonts w:ascii="Arial" w:eastAsia="Arial" w:hAnsi="Arial" w:cs="Arial"/>
          <w:b/>
          <w:sz w:val="24"/>
          <w:szCs w:val="24"/>
        </w:rPr>
        <w:t>Programa de Becas Nacionales para la Educación Superior Manutención en el Estado de Tabasco (Manutención-Tabasco)</w:t>
      </w:r>
    </w:p>
    <w:p w14:paraId="51D9B4BD" w14:textId="77777777" w:rsidR="00457E53" w:rsidRPr="00843A92" w:rsidRDefault="00457E53" w:rsidP="00457E53">
      <w:pPr>
        <w:pBdr>
          <w:top w:val="nil"/>
          <w:left w:val="nil"/>
          <w:bottom w:val="nil"/>
          <w:right w:val="nil"/>
          <w:between w:val="nil"/>
        </w:pBdr>
        <w:spacing w:after="0" w:line="240" w:lineRule="auto"/>
        <w:ind w:left="851"/>
        <w:jc w:val="both"/>
        <w:rPr>
          <w:rFonts w:ascii="Arial" w:eastAsia="Arial" w:hAnsi="Arial" w:cs="Arial"/>
          <w:color w:val="000000"/>
          <w:sz w:val="24"/>
          <w:szCs w:val="24"/>
        </w:rPr>
      </w:pPr>
      <w:r w:rsidRPr="00843A92">
        <w:rPr>
          <w:rFonts w:ascii="Arial" w:eastAsia="Arial" w:hAnsi="Arial" w:cs="Arial"/>
          <w:color w:val="000000"/>
          <w:sz w:val="24"/>
          <w:szCs w:val="24"/>
        </w:rPr>
        <w:t>Dependencia o sector: Secretaría de Educación</w:t>
      </w:r>
    </w:p>
    <w:p w14:paraId="27F7A089" w14:textId="77777777" w:rsidR="00457E53" w:rsidRPr="00843A92" w:rsidRDefault="00457E53" w:rsidP="00457E53">
      <w:pPr>
        <w:pBdr>
          <w:top w:val="nil"/>
          <w:left w:val="nil"/>
          <w:bottom w:val="nil"/>
          <w:right w:val="nil"/>
          <w:between w:val="nil"/>
        </w:pBdr>
        <w:spacing w:after="0" w:line="240" w:lineRule="auto"/>
        <w:ind w:left="851"/>
        <w:jc w:val="both"/>
        <w:rPr>
          <w:rFonts w:ascii="Arial" w:eastAsia="Arial" w:hAnsi="Arial" w:cs="Arial"/>
          <w:color w:val="000000"/>
          <w:sz w:val="24"/>
          <w:szCs w:val="24"/>
        </w:rPr>
      </w:pPr>
      <w:r w:rsidRPr="00843A92">
        <w:rPr>
          <w:rFonts w:ascii="Arial" w:eastAsia="Arial" w:hAnsi="Arial" w:cs="Arial"/>
          <w:color w:val="000000"/>
          <w:sz w:val="24"/>
          <w:szCs w:val="24"/>
        </w:rPr>
        <w:t>Fiduciario: Scotiabank</w:t>
      </w:r>
    </w:p>
    <w:p w14:paraId="61D6747F" w14:textId="77777777" w:rsidR="00457E53" w:rsidRPr="00843A92" w:rsidRDefault="00457E53" w:rsidP="00457E53">
      <w:pPr>
        <w:pBdr>
          <w:top w:val="nil"/>
          <w:left w:val="nil"/>
          <w:bottom w:val="nil"/>
          <w:right w:val="nil"/>
          <w:between w:val="nil"/>
        </w:pBdr>
        <w:spacing w:after="0" w:line="240" w:lineRule="auto"/>
        <w:ind w:left="851"/>
        <w:jc w:val="both"/>
        <w:rPr>
          <w:rFonts w:ascii="Arial" w:eastAsia="Arial" w:hAnsi="Arial" w:cs="Arial"/>
          <w:color w:val="000000"/>
          <w:sz w:val="24"/>
          <w:szCs w:val="24"/>
        </w:rPr>
      </w:pPr>
      <w:r w:rsidRPr="00843A92">
        <w:rPr>
          <w:rFonts w:ascii="Arial" w:eastAsia="Arial" w:hAnsi="Arial" w:cs="Arial"/>
          <w:color w:val="000000"/>
          <w:sz w:val="24"/>
          <w:szCs w:val="24"/>
        </w:rPr>
        <w:t>Contrato No: 550049282</w:t>
      </w:r>
    </w:p>
    <w:p w14:paraId="7B4005F9" w14:textId="77777777" w:rsidR="00457E53" w:rsidRPr="00843A92" w:rsidRDefault="00457E53" w:rsidP="00457E53">
      <w:pPr>
        <w:pBdr>
          <w:top w:val="nil"/>
          <w:left w:val="nil"/>
          <w:bottom w:val="nil"/>
          <w:right w:val="nil"/>
          <w:between w:val="nil"/>
        </w:pBdr>
        <w:spacing w:after="0" w:line="240" w:lineRule="auto"/>
        <w:ind w:left="851"/>
        <w:jc w:val="both"/>
        <w:rPr>
          <w:rFonts w:ascii="Arial" w:eastAsia="Arial" w:hAnsi="Arial" w:cs="Arial"/>
          <w:color w:val="000000"/>
          <w:sz w:val="24"/>
          <w:szCs w:val="24"/>
        </w:rPr>
      </w:pPr>
      <w:r w:rsidRPr="00843A92">
        <w:rPr>
          <w:rFonts w:ascii="Arial" w:eastAsia="Arial" w:hAnsi="Arial" w:cs="Arial"/>
          <w:color w:val="000000"/>
          <w:sz w:val="24"/>
          <w:szCs w:val="24"/>
        </w:rPr>
        <w:t>Tipo: de Inversión y administración</w:t>
      </w:r>
    </w:p>
    <w:p w14:paraId="6232197E" w14:textId="77777777" w:rsidR="00457E53" w:rsidRPr="00843A92" w:rsidRDefault="00457E53" w:rsidP="00457E53">
      <w:pPr>
        <w:pBdr>
          <w:top w:val="nil"/>
          <w:left w:val="nil"/>
          <w:bottom w:val="nil"/>
          <w:right w:val="nil"/>
          <w:between w:val="nil"/>
        </w:pBdr>
        <w:spacing w:after="0" w:line="240" w:lineRule="auto"/>
        <w:ind w:left="851"/>
        <w:jc w:val="both"/>
        <w:rPr>
          <w:rFonts w:ascii="Arial" w:eastAsia="Arial" w:hAnsi="Arial" w:cs="Arial"/>
          <w:color w:val="000000"/>
          <w:sz w:val="24"/>
          <w:szCs w:val="24"/>
        </w:rPr>
      </w:pPr>
      <w:r w:rsidRPr="00843A92">
        <w:rPr>
          <w:rFonts w:ascii="Arial" w:eastAsia="Arial" w:hAnsi="Arial" w:cs="Arial"/>
          <w:color w:val="000000"/>
          <w:sz w:val="24"/>
          <w:szCs w:val="24"/>
        </w:rPr>
        <w:t xml:space="preserve">Saldo: </w:t>
      </w:r>
      <w:r w:rsidRPr="00B91687">
        <w:rPr>
          <w:rFonts w:ascii="Arial" w:eastAsia="Arial" w:hAnsi="Arial" w:cs="Arial"/>
          <w:b/>
          <w:color w:val="000000"/>
          <w:sz w:val="24"/>
          <w:szCs w:val="24"/>
        </w:rPr>
        <w:t>$ 2</w:t>
      </w:r>
      <w:proofErr w:type="gramStart"/>
      <w:r w:rsidRPr="00B91687">
        <w:rPr>
          <w:rFonts w:ascii="Arial" w:eastAsia="Arial" w:hAnsi="Arial" w:cs="Arial"/>
          <w:b/>
          <w:color w:val="000000"/>
          <w:sz w:val="24"/>
          <w:szCs w:val="24"/>
        </w:rPr>
        <w:t>,126,489</w:t>
      </w:r>
      <w:proofErr w:type="gramEnd"/>
    </w:p>
    <w:p w14:paraId="3708D050" w14:textId="77777777" w:rsidR="00457E53" w:rsidRPr="00843A92" w:rsidRDefault="00457E53" w:rsidP="00457E53">
      <w:pPr>
        <w:pBdr>
          <w:top w:val="nil"/>
          <w:left w:val="nil"/>
          <w:bottom w:val="nil"/>
          <w:right w:val="nil"/>
          <w:between w:val="nil"/>
        </w:pBdr>
        <w:spacing w:after="0" w:line="240" w:lineRule="auto"/>
        <w:ind w:left="851"/>
        <w:jc w:val="both"/>
        <w:rPr>
          <w:rFonts w:ascii="Arial" w:eastAsia="Arial" w:hAnsi="Arial" w:cs="Arial"/>
          <w:b/>
          <w:sz w:val="24"/>
          <w:szCs w:val="24"/>
        </w:rPr>
      </w:pPr>
    </w:p>
    <w:p w14:paraId="682C6939" w14:textId="77777777" w:rsidR="00457E53" w:rsidRPr="00843A92" w:rsidRDefault="00457E53" w:rsidP="00457E53">
      <w:pPr>
        <w:spacing w:after="0" w:line="240" w:lineRule="auto"/>
        <w:jc w:val="both"/>
        <w:rPr>
          <w:rFonts w:ascii="Arial" w:eastAsia="Arial" w:hAnsi="Arial" w:cs="Arial"/>
          <w:sz w:val="24"/>
          <w:szCs w:val="24"/>
        </w:rPr>
      </w:pPr>
      <w:r w:rsidRPr="00843A92">
        <w:rPr>
          <w:rFonts w:ascii="Arial" w:eastAsia="Arial" w:hAnsi="Arial" w:cs="Arial"/>
          <w:sz w:val="24"/>
          <w:szCs w:val="24"/>
        </w:rPr>
        <w:t>Desde el 2019, los programas de apoyo de becas para estudiantes de instituciones públicas de educación superior, se realizan bajo un esquema de convocatorias federales, operadas y pagadas directamente a los beneficiarios por la Coordinación Nacional de Becas de Educación Superior. En noviembre de 2019, el Comité Técnico autorizó el reintegro de remanentes y productos financieros correspondientes al Ciclo Escolar 2017-2018. En el presente ejercicio, el fideicomiso se encuentra inactivo y en proceso de extinción.</w:t>
      </w:r>
    </w:p>
    <w:p w14:paraId="0ACD9996" w14:textId="77777777" w:rsidR="00457E53" w:rsidRPr="00843A92" w:rsidRDefault="00457E53" w:rsidP="00457E53">
      <w:pPr>
        <w:spacing w:after="0" w:line="240" w:lineRule="auto"/>
        <w:jc w:val="both"/>
        <w:rPr>
          <w:rFonts w:ascii="Arial" w:eastAsia="Arial" w:hAnsi="Arial" w:cs="Arial"/>
          <w:sz w:val="24"/>
          <w:szCs w:val="24"/>
        </w:rPr>
      </w:pPr>
    </w:p>
    <w:p w14:paraId="0C89B5DC" w14:textId="77777777" w:rsidR="00457E53" w:rsidRPr="00843A92" w:rsidRDefault="00457E53" w:rsidP="00457E53">
      <w:pPr>
        <w:numPr>
          <w:ilvl w:val="0"/>
          <w:numId w:val="24"/>
        </w:numPr>
        <w:pBdr>
          <w:top w:val="nil"/>
          <w:left w:val="nil"/>
          <w:bottom w:val="nil"/>
          <w:right w:val="nil"/>
          <w:between w:val="nil"/>
        </w:pBdr>
        <w:spacing w:after="0" w:line="240" w:lineRule="auto"/>
        <w:ind w:left="851" w:hanging="491"/>
        <w:jc w:val="both"/>
        <w:rPr>
          <w:rFonts w:ascii="Arial" w:eastAsia="Arial" w:hAnsi="Arial" w:cs="Arial"/>
          <w:b/>
          <w:color w:val="000000"/>
          <w:sz w:val="24"/>
          <w:szCs w:val="24"/>
        </w:rPr>
      </w:pPr>
      <w:r w:rsidRPr="00843A92">
        <w:rPr>
          <w:rFonts w:ascii="Arial" w:eastAsia="Arial" w:hAnsi="Arial" w:cs="Arial"/>
          <w:b/>
          <w:color w:val="000000"/>
          <w:sz w:val="24"/>
          <w:szCs w:val="24"/>
        </w:rPr>
        <w:t>Fideicomiso para el Fomento y Desarrollo de las Empresas del Estado de Tabasco. FIDEET</w:t>
      </w:r>
    </w:p>
    <w:p w14:paraId="1A126C66" w14:textId="77777777" w:rsidR="00457E53" w:rsidRPr="00843A92" w:rsidRDefault="00457E53" w:rsidP="00457E53">
      <w:pPr>
        <w:pBdr>
          <w:top w:val="nil"/>
          <w:left w:val="nil"/>
          <w:bottom w:val="nil"/>
          <w:right w:val="nil"/>
          <w:between w:val="nil"/>
        </w:pBdr>
        <w:spacing w:after="0" w:line="240" w:lineRule="auto"/>
        <w:ind w:left="851" w:hanging="130"/>
        <w:jc w:val="both"/>
        <w:rPr>
          <w:rFonts w:ascii="Arial" w:eastAsia="Arial" w:hAnsi="Arial" w:cs="Arial"/>
          <w:color w:val="000000"/>
          <w:sz w:val="24"/>
          <w:szCs w:val="24"/>
        </w:rPr>
      </w:pPr>
      <w:r w:rsidRPr="00843A92">
        <w:rPr>
          <w:rFonts w:ascii="Arial" w:eastAsia="Arial" w:hAnsi="Arial" w:cs="Arial"/>
          <w:sz w:val="24"/>
          <w:szCs w:val="24"/>
        </w:rPr>
        <w:t xml:space="preserve"> </w:t>
      </w:r>
      <w:r w:rsidRPr="00843A92">
        <w:rPr>
          <w:rFonts w:ascii="Arial" w:eastAsia="Arial" w:hAnsi="Arial" w:cs="Arial"/>
          <w:color w:val="000000"/>
          <w:sz w:val="24"/>
          <w:szCs w:val="24"/>
        </w:rPr>
        <w:t>Dependencia o sector: Secretaría para el Desarrollo Económico y la      Competitividad</w:t>
      </w:r>
    </w:p>
    <w:p w14:paraId="4FD556BA" w14:textId="77777777" w:rsidR="00457E53" w:rsidRPr="00843A92" w:rsidRDefault="00457E53" w:rsidP="00457E53">
      <w:pPr>
        <w:pBdr>
          <w:top w:val="nil"/>
          <w:left w:val="nil"/>
          <w:bottom w:val="nil"/>
          <w:right w:val="nil"/>
          <w:between w:val="nil"/>
        </w:pBdr>
        <w:spacing w:after="0" w:line="240" w:lineRule="auto"/>
        <w:ind w:left="851" w:hanging="130"/>
        <w:jc w:val="both"/>
        <w:rPr>
          <w:rFonts w:ascii="Arial" w:eastAsia="Arial" w:hAnsi="Arial" w:cs="Arial"/>
          <w:color w:val="000000"/>
          <w:sz w:val="24"/>
          <w:szCs w:val="24"/>
        </w:rPr>
      </w:pPr>
      <w:r w:rsidRPr="00843A92">
        <w:rPr>
          <w:rFonts w:ascii="Arial" w:eastAsia="Arial" w:hAnsi="Arial" w:cs="Arial"/>
          <w:color w:val="000000"/>
          <w:sz w:val="24"/>
          <w:szCs w:val="24"/>
        </w:rPr>
        <w:t xml:space="preserve">  Fiduciario: Nacional Financiera S.N.C.</w:t>
      </w:r>
    </w:p>
    <w:p w14:paraId="466CF6F6" w14:textId="77777777" w:rsidR="00457E53" w:rsidRPr="00843A92" w:rsidRDefault="00457E53" w:rsidP="00457E53">
      <w:pPr>
        <w:pBdr>
          <w:top w:val="nil"/>
          <w:left w:val="nil"/>
          <w:bottom w:val="nil"/>
          <w:right w:val="nil"/>
          <w:between w:val="nil"/>
        </w:pBdr>
        <w:spacing w:after="0" w:line="240" w:lineRule="auto"/>
        <w:ind w:left="851" w:hanging="130"/>
        <w:jc w:val="both"/>
        <w:rPr>
          <w:rFonts w:ascii="Arial" w:eastAsia="Arial" w:hAnsi="Arial" w:cs="Arial"/>
          <w:color w:val="000000"/>
          <w:sz w:val="24"/>
          <w:szCs w:val="24"/>
        </w:rPr>
      </w:pPr>
      <w:r w:rsidRPr="00843A92">
        <w:rPr>
          <w:rFonts w:ascii="Arial" w:eastAsia="Arial" w:hAnsi="Arial" w:cs="Arial"/>
          <w:color w:val="000000"/>
          <w:sz w:val="24"/>
          <w:szCs w:val="24"/>
        </w:rPr>
        <w:t xml:space="preserve">  Contrato No: 80626</w:t>
      </w:r>
    </w:p>
    <w:p w14:paraId="5D4B0997" w14:textId="77777777" w:rsidR="00457E53" w:rsidRPr="00843A92" w:rsidRDefault="00457E53" w:rsidP="00457E53">
      <w:pPr>
        <w:pBdr>
          <w:top w:val="nil"/>
          <w:left w:val="nil"/>
          <w:bottom w:val="nil"/>
          <w:right w:val="nil"/>
          <w:between w:val="nil"/>
        </w:pBdr>
        <w:spacing w:after="0" w:line="240" w:lineRule="auto"/>
        <w:ind w:left="851" w:hanging="130"/>
        <w:jc w:val="both"/>
        <w:rPr>
          <w:rFonts w:ascii="Arial" w:eastAsia="Arial" w:hAnsi="Arial" w:cs="Arial"/>
          <w:color w:val="000000"/>
          <w:sz w:val="24"/>
          <w:szCs w:val="24"/>
        </w:rPr>
      </w:pPr>
      <w:r w:rsidRPr="00843A92">
        <w:rPr>
          <w:rFonts w:ascii="Arial" w:eastAsia="Arial" w:hAnsi="Arial" w:cs="Arial"/>
          <w:color w:val="000000"/>
          <w:sz w:val="24"/>
          <w:szCs w:val="24"/>
        </w:rPr>
        <w:t xml:space="preserve">  Tipo: de Administración e inversión</w:t>
      </w:r>
    </w:p>
    <w:p w14:paraId="22BBD7F9" w14:textId="77777777" w:rsidR="00457E53" w:rsidRPr="00843A92" w:rsidRDefault="00457E53" w:rsidP="00457E53">
      <w:pPr>
        <w:pBdr>
          <w:top w:val="nil"/>
          <w:left w:val="nil"/>
          <w:bottom w:val="nil"/>
          <w:right w:val="nil"/>
          <w:between w:val="nil"/>
        </w:pBdr>
        <w:spacing w:after="0" w:line="240" w:lineRule="auto"/>
        <w:ind w:left="851" w:hanging="130"/>
        <w:jc w:val="both"/>
        <w:rPr>
          <w:rFonts w:ascii="Arial" w:eastAsia="Arial" w:hAnsi="Arial" w:cs="Arial"/>
          <w:b/>
          <w:sz w:val="24"/>
          <w:szCs w:val="24"/>
        </w:rPr>
      </w:pPr>
      <w:r w:rsidRPr="00843A92">
        <w:rPr>
          <w:rFonts w:ascii="Arial" w:eastAsia="Arial" w:hAnsi="Arial" w:cs="Arial"/>
          <w:color w:val="000000"/>
          <w:sz w:val="24"/>
          <w:szCs w:val="24"/>
        </w:rPr>
        <w:t xml:space="preserve">   </w:t>
      </w:r>
      <w:r w:rsidRPr="00843A92">
        <w:rPr>
          <w:rFonts w:ascii="Arial" w:eastAsia="Arial" w:hAnsi="Arial" w:cs="Arial"/>
          <w:sz w:val="24"/>
          <w:szCs w:val="24"/>
        </w:rPr>
        <w:t xml:space="preserve">Saldo: </w:t>
      </w:r>
      <w:r w:rsidRPr="00843A92">
        <w:rPr>
          <w:rFonts w:ascii="Arial" w:eastAsia="Arial" w:hAnsi="Arial" w:cs="Arial"/>
          <w:b/>
          <w:sz w:val="24"/>
          <w:szCs w:val="24"/>
        </w:rPr>
        <w:t>$</w:t>
      </w:r>
      <w:r>
        <w:rPr>
          <w:rFonts w:ascii="Arial" w:eastAsia="Arial" w:hAnsi="Arial" w:cs="Arial"/>
          <w:b/>
          <w:sz w:val="24"/>
          <w:szCs w:val="24"/>
        </w:rPr>
        <w:t>101</w:t>
      </w:r>
      <w:proofErr w:type="gramStart"/>
      <w:r>
        <w:rPr>
          <w:rFonts w:ascii="Arial" w:eastAsia="Arial" w:hAnsi="Arial" w:cs="Arial"/>
          <w:b/>
          <w:sz w:val="24"/>
          <w:szCs w:val="24"/>
        </w:rPr>
        <w:t>,296,329</w:t>
      </w:r>
      <w:proofErr w:type="gramEnd"/>
    </w:p>
    <w:p w14:paraId="1B593770" w14:textId="77777777" w:rsidR="00457E53" w:rsidRPr="00843A92" w:rsidRDefault="00457E53" w:rsidP="00457E53">
      <w:pPr>
        <w:pBdr>
          <w:top w:val="nil"/>
          <w:left w:val="nil"/>
          <w:bottom w:val="nil"/>
          <w:right w:val="nil"/>
          <w:between w:val="nil"/>
        </w:pBdr>
        <w:spacing w:after="0" w:line="240" w:lineRule="auto"/>
        <w:ind w:left="851" w:hanging="130"/>
        <w:jc w:val="both"/>
        <w:rPr>
          <w:rFonts w:ascii="Arial" w:eastAsia="Arial" w:hAnsi="Arial" w:cs="Arial"/>
          <w:color w:val="000000"/>
          <w:sz w:val="24"/>
          <w:szCs w:val="24"/>
        </w:rPr>
      </w:pPr>
    </w:p>
    <w:p w14:paraId="48B07E35" w14:textId="45EE2BE1" w:rsidR="00457E53" w:rsidRDefault="00457E53" w:rsidP="00457E53">
      <w:pPr>
        <w:spacing w:after="0" w:line="240" w:lineRule="auto"/>
        <w:jc w:val="both"/>
        <w:rPr>
          <w:rFonts w:ascii="Arial" w:eastAsia="Arial" w:hAnsi="Arial" w:cs="Arial"/>
          <w:sz w:val="24"/>
          <w:szCs w:val="24"/>
        </w:rPr>
      </w:pPr>
      <w:r w:rsidRPr="00843A92">
        <w:rPr>
          <w:rFonts w:ascii="Arial" w:eastAsia="Arial" w:hAnsi="Arial" w:cs="Arial"/>
          <w:sz w:val="24"/>
          <w:szCs w:val="24"/>
        </w:rPr>
        <w:t>Concebido como instrumento de política económica para promover y fomentar el crecimiento, desarrollo y madurez de los proyectos de inversión y de iniciativas empresariales del Estado tendientes a generar valor y derrama económica. Permite la participación en la construcción, adecuación, ampliación, mantenimiento y reparación de la infraestructura económica, generando empleos y manteniendo los existentes; procurando las condiciones para el crecimiento económico en un mediano y largo plazo. Por lo anterior, durante el presente trimestre, el Comité Técnico autorizó la solicitud de recursos, por la</w:t>
      </w:r>
      <w:r w:rsidR="00955B7F">
        <w:rPr>
          <w:rFonts w:ascii="Arial" w:eastAsia="Arial" w:hAnsi="Arial" w:cs="Arial"/>
          <w:sz w:val="24"/>
          <w:szCs w:val="24"/>
        </w:rPr>
        <w:t xml:space="preserve"> cantidad total de $7</w:t>
      </w:r>
      <w:proofErr w:type="gramStart"/>
      <w:r w:rsidR="00955B7F">
        <w:rPr>
          <w:rFonts w:ascii="Arial" w:eastAsia="Arial" w:hAnsi="Arial" w:cs="Arial"/>
          <w:sz w:val="24"/>
          <w:szCs w:val="24"/>
        </w:rPr>
        <w:t>,000,000</w:t>
      </w:r>
      <w:proofErr w:type="gramEnd"/>
      <w:r w:rsidRPr="00843A92">
        <w:rPr>
          <w:rFonts w:ascii="Arial" w:eastAsia="Arial" w:hAnsi="Arial" w:cs="Arial"/>
          <w:sz w:val="24"/>
          <w:szCs w:val="24"/>
        </w:rPr>
        <w:t xml:space="preserve"> (Siete millones de pesos 00/100 M.N.).</w:t>
      </w:r>
    </w:p>
    <w:p w14:paraId="688D0092" w14:textId="77777777" w:rsidR="00457E53" w:rsidRDefault="00457E53" w:rsidP="00457E53">
      <w:pPr>
        <w:spacing w:after="0" w:line="240" w:lineRule="auto"/>
        <w:jc w:val="both"/>
        <w:rPr>
          <w:rFonts w:ascii="Arial" w:eastAsia="Arial" w:hAnsi="Arial" w:cs="Arial"/>
          <w:sz w:val="24"/>
          <w:szCs w:val="24"/>
        </w:rPr>
      </w:pPr>
    </w:p>
    <w:p w14:paraId="045BD27C" w14:textId="77777777" w:rsidR="00457E53" w:rsidRPr="00EE46B5" w:rsidRDefault="00457E53" w:rsidP="00FC4DCF">
      <w:pPr>
        <w:spacing w:after="0" w:line="240" w:lineRule="auto"/>
        <w:ind w:left="426"/>
        <w:jc w:val="both"/>
        <w:rPr>
          <w:rFonts w:ascii="Arial" w:eastAsia="Arial" w:hAnsi="Arial" w:cs="Arial"/>
          <w:b/>
          <w:color w:val="000000"/>
          <w:sz w:val="24"/>
          <w:szCs w:val="24"/>
        </w:rPr>
      </w:pPr>
      <w:r>
        <w:rPr>
          <w:rFonts w:ascii="Arial" w:eastAsia="Arial" w:hAnsi="Arial" w:cs="Arial"/>
          <w:b/>
          <w:sz w:val="24"/>
          <w:szCs w:val="24"/>
        </w:rPr>
        <w:t>10</w:t>
      </w:r>
      <w:r w:rsidRPr="00EE46B5">
        <w:rPr>
          <w:rFonts w:ascii="Arial" w:eastAsia="Arial" w:hAnsi="Arial" w:cs="Arial"/>
          <w:b/>
          <w:sz w:val="24"/>
          <w:szCs w:val="24"/>
        </w:rPr>
        <w:t>.</w:t>
      </w:r>
      <w:r>
        <w:rPr>
          <w:rFonts w:ascii="Arial" w:eastAsia="Arial" w:hAnsi="Arial" w:cs="Arial"/>
          <w:b/>
          <w:color w:val="000000"/>
          <w:sz w:val="24"/>
          <w:szCs w:val="24"/>
        </w:rPr>
        <w:t xml:space="preserve"> Fideicomiso</w:t>
      </w:r>
      <w:r w:rsidRPr="00EE46B5">
        <w:rPr>
          <w:rFonts w:ascii="Arial" w:eastAsia="Arial" w:hAnsi="Arial" w:cs="Arial"/>
          <w:b/>
          <w:color w:val="000000"/>
          <w:sz w:val="24"/>
          <w:szCs w:val="24"/>
        </w:rPr>
        <w:t xml:space="preserve"> para el Desarrollo Industrial de Tabasco. FINTAB</w:t>
      </w:r>
    </w:p>
    <w:p w14:paraId="51A692AC" w14:textId="71E92B4D" w:rsidR="00457E53" w:rsidRPr="00843A92" w:rsidRDefault="00457E53" w:rsidP="00457E53">
      <w:pPr>
        <w:pBdr>
          <w:top w:val="nil"/>
          <w:left w:val="nil"/>
          <w:bottom w:val="nil"/>
          <w:right w:val="nil"/>
          <w:between w:val="nil"/>
        </w:pBdr>
        <w:spacing w:after="0" w:line="240" w:lineRule="auto"/>
        <w:ind w:left="780"/>
        <w:jc w:val="both"/>
        <w:rPr>
          <w:rFonts w:ascii="Arial" w:eastAsia="Arial" w:hAnsi="Arial" w:cs="Arial"/>
          <w:color w:val="000000"/>
          <w:sz w:val="24"/>
          <w:szCs w:val="24"/>
        </w:rPr>
      </w:pPr>
      <w:r w:rsidRPr="00843A92">
        <w:rPr>
          <w:rFonts w:ascii="Arial" w:eastAsia="Arial" w:hAnsi="Arial" w:cs="Arial"/>
          <w:color w:val="000000"/>
          <w:sz w:val="24"/>
          <w:szCs w:val="24"/>
        </w:rPr>
        <w:t>Dependencia o sector: Secretaría para el Desarrollo Económico y la Competitividad</w:t>
      </w:r>
    </w:p>
    <w:p w14:paraId="7E55B017" w14:textId="77777777" w:rsidR="00457E53" w:rsidRPr="00843A92" w:rsidRDefault="00457E53" w:rsidP="00457E53">
      <w:pPr>
        <w:pBdr>
          <w:top w:val="nil"/>
          <w:left w:val="nil"/>
          <w:bottom w:val="nil"/>
          <w:right w:val="nil"/>
          <w:between w:val="nil"/>
        </w:pBdr>
        <w:spacing w:after="0" w:line="240" w:lineRule="auto"/>
        <w:ind w:left="720" w:firstLine="60"/>
        <w:jc w:val="both"/>
        <w:rPr>
          <w:rFonts w:ascii="Arial" w:eastAsia="Arial" w:hAnsi="Arial" w:cs="Arial"/>
          <w:color w:val="000000"/>
          <w:sz w:val="24"/>
          <w:szCs w:val="24"/>
        </w:rPr>
      </w:pPr>
      <w:r w:rsidRPr="00843A92">
        <w:rPr>
          <w:rFonts w:ascii="Arial" w:eastAsia="Arial" w:hAnsi="Arial" w:cs="Arial"/>
          <w:color w:val="000000"/>
          <w:sz w:val="24"/>
          <w:szCs w:val="24"/>
        </w:rPr>
        <w:t>Fiduciario: Nacional Financiera S.N.C.</w:t>
      </w:r>
    </w:p>
    <w:p w14:paraId="385159DE" w14:textId="77777777" w:rsidR="00457E53" w:rsidRPr="00843A92" w:rsidRDefault="00457E53" w:rsidP="00457E53">
      <w:pPr>
        <w:pBdr>
          <w:top w:val="nil"/>
          <w:left w:val="nil"/>
          <w:bottom w:val="nil"/>
          <w:right w:val="nil"/>
          <w:between w:val="nil"/>
        </w:pBdr>
        <w:spacing w:after="0" w:line="240" w:lineRule="auto"/>
        <w:ind w:left="720" w:firstLine="60"/>
        <w:jc w:val="both"/>
        <w:rPr>
          <w:rFonts w:ascii="Arial" w:eastAsia="Arial" w:hAnsi="Arial" w:cs="Arial"/>
          <w:color w:val="000000"/>
          <w:sz w:val="24"/>
          <w:szCs w:val="24"/>
        </w:rPr>
      </w:pPr>
      <w:r w:rsidRPr="00843A92">
        <w:rPr>
          <w:rFonts w:ascii="Arial" w:eastAsia="Arial" w:hAnsi="Arial" w:cs="Arial"/>
          <w:color w:val="000000"/>
          <w:sz w:val="24"/>
          <w:szCs w:val="24"/>
        </w:rPr>
        <w:t>Contrato No: 80511</w:t>
      </w:r>
    </w:p>
    <w:p w14:paraId="23F168B3" w14:textId="77777777" w:rsidR="00457E53" w:rsidRPr="00843A92" w:rsidRDefault="00457E53" w:rsidP="00457E53">
      <w:pPr>
        <w:pBdr>
          <w:top w:val="nil"/>
          <w:left w:val="nil"/>
          <w:bottom w:val="nil"/>
          <w:right w:val="nil"/>
          <w:between w:val="nil"/>
        </w:pBdr>
        <w:spacing w:after="0" w:line="240" w:lineRule="auto"/>
        <w:ind w:left="720" w:firstLine="60"/>
        <w:jc w:val="both"/>
        <w:rPr>
          <w:rFonts w:ascii="Arial" w:eastAsia="Arial" w:hAnsi="Arial" w:cs="Arial"/>
          <w:color w:val="000000"/>
          <w:sz w:val="24"/>
          <w:szCs w:val="24"/>
        </w:rPr>
      </w:pPr>
      <w:r w:rsidRPr="00843A92">
        <w:rPr>
          <w:rFonts w:ascii="Arial" w:eastAsia="Arial" w:hAnsi="Arial" w:cs="Arial"/>
          <w:color w:val="000000"/>
          <w:sz w:val="24"/>
          <w:szCs w:val="24"/>
        </w:rPr>
        <w:t>Tipo: de Administración e inversión</w:t>
      </w:r>
    </w:p>
    <w:p w14:paraId="7F4A66B4" w14:textId="77777777" w:rsidR="00457E53" w:rsidRPr="00843A92" w:rsidRDefault="00457E53" w:rsidP="00457E53">
      <w:pPr>
        <w:pBdr>
          <w:top w:val="nil"/>
          <w:left w:val="nil"/>
          <w:bottom w:val="nil"/>
          <w:right w:val="nil"/>
          <w:between w:val="nil"/>
        </w:pBdr>
        <w:spacing w:after="0" w:line="240" w:lineRule="auto"/>
        <w:ind w:left="720" w:firstLine="60"/>
        <w:jc w:val="both"/>
        <w:rPr>
          <w:rFonts w:ascii="Arial" w:eastAsia="Arial" w:hAnsi="Arial" w:cs="Arial"/>
          <w:b/>
          <w:color w:val="000000"/>
          <w:sz w:val="24"/>
          <w:szCs w:val="24"/>
        </w:rPr>
      </w:pPr>
      <w:r w:rsidRPr="00843A92">
        <w:rPr>
          <w:rFonts w:ascii="Arial" w:eastAsia="Arial" w:hAnsi="Arial" w:cs="Arial"/>
          <w:color w:val="000000"/>
          <w:sz w:val="24"/>
          <w:szCs w:val="24"/>
        </w:rPr>
        <w:t xml:space="preserve">Saldo: </w:t>
      </w:r>
      <w:r w:rsidRPr="00843A92">
        <w:rPr>
          <w:rFonts w:ascii="Arial" w:eastAsia="Arial" w:hAnsi="Arial" w:cs="Arial"/>
          <w:b/>
          <w:color w:val="000000"/>
          <w:sz w:val="24"/>
          <w:szCs w:val="24"/>
        </w:rPr>
        <w:t>$</w:t>
      </w:r>
      <w:r>
        <w:rPr>
          <w:rFonts w:ascii="Arial" w:eastAsia="Arial" w:hAnsi="Arial" w:cs="Arial"/>
          <w:b/>
          <w:color w:val="000000"/>
          <w:sz w:val="24"/>
          <w:szCs w:val="24"/>
        </w:rPr>
        <w:t>3</w:t>
      </w:r>
      <w:proofErr w:type="gramStart"/>
      <w:r>
        <w:rPr>
          <w:rFonts w:ascii="Arial" w:eastAsia="Arial" w:hAnsi="Arial" w:cs="Arial"/>
          <w:b/>
          <w:color w:val="000000"/>
          <w:sz w:val="24"/>
          <w:szCs w:val="24"/>
        </w:rPr>
        <w:t>,499,126</w:t>
      </w:r>
      <w:proofErr w:type="gramEnd"/>
    </w:p>
    <w:p w14:paraId="6452F2C3" w14:textId="77777777" w:rsidR="00457E53" w:rsidRPr="00843A92" w:rsidRDefault="00457E53" w:rsidP="00457E53">
      <w:pPr>
        <w:pBdr>
          <w:top w:val="nil"/>
          <w:left w:val="nil"/>
          <w:bottom w:val="nil"/>
          <w:right w:val="nil"/>
          <w:between w:val="nil"/>
        </w:pBdr>
        <w:spacing w:after="0" w:line="240" w:lineRule="auto"/>
        <w:ind w:left="720" w:firstLine="60"/>
        <w:jc w:val="both"/>
        <w:rPr>
          <w:rFonts w:ascii="Arial" w:eastAsia="Arial" w:hAnsi="Arial" w:cs="Arial"/>
          <w:b/>
          <w:sz w:val="24"/>
          <w:szCs w:val="24"/>
        </w:rPr>
      </w:pPr>
    </w:p>
    <w:p w14:paraId="5D3807EB" w14:textId="77777777" w:rsidR="00457E53" w:rsidRPr="00843A92" w:rsidRDefault="00457E53" w:rsidP="00457E53">
      <w:pPr>
        <w:spacing w:after="0" w:line="240" w:lineRule="auto"/>
        <w:jc w:val="both"/>
        <w:rPr>
          <w:rFonts w:ascii="Arial" w:eastAsia="Arial" w:hAnsi="Arial" w:cs="Arial"/>
          <w:sz w:val="24"/>
          <w:szCs w:val="24"/>
        </w:rPr>
      </w:pPr>
      <w:bookmarkStart w:id="1" w:name="_heading=h.1fob9te" w:colFirst="0" w:colLast="0"/>
      <w:bookmarkEnd w:id="1"/>
      <w:r w:rsidRPr="00843A92">
        <w:rPr>
          <w:rFonts w:ascii="Arial" w:eastAsia="Arial" w:hAnsi="Arial" w:cs="Arial"/>
          <w:sz w:val="24"/>
          <w:szCs w:val="24"/>
        </w:rPr>
        <w:t xml:space="preserve">Constituido principalmente para incentivar la inversión de capital en el Estado de Tabasco en las actividades económicas consideradas como prioritarias, por lo que durante el presente trimestre, el Fideicomiso solicitó un apoyo financiero al FIDEET, para la adquisición de una reserva territorial. </w:t>
      </w:r>
    </w:p>
    <w:p w14:paraId="49949D7C" w14:textId="77777777" w:rsidR="00457E53" w:rsidRPr="00843A92" w:rsidRDefault="00457E53" w:rsidP="00457E53">
      <w:pPr>
        <w:spacing w:after="0" w:line="240" w:lineRule="auto"/>
        <w:jc w:val="both"/>
        <w:rPr>
          <w:rFonts w:ascii="Arial" w:eastAsia="Arial" w:hAnsi="Arial" w:cs="Arial"/>
          <w:sz w:val="24"/>
          <w:szCs w:val="24"/>
        </w:rPr>
      </w:pPr>
      <w:bookmarkStart w:id="2" w:name="_heading=h.u0glp8scr49a" w:colFirst="0" w:colLast="0"/>
      <w:bookmarkEnd w:id="2"/>
    </w:p>
    <w:p w14:paraId="656A7317" w14:textId="77777777" w:rsidR="00457E53" w:rsidRPr="00843A92" w:rsidRDefault="00457E53" w:rsidP="00FC4DCF">
      <w:pPr>
        <w:pBdr>
          <w:top w:val="nil"/>
          <w:left w:val="nil"/>
          <w:bottom w:val="nil"/>
          <w:right w:val="nil"/>
          <w:between w:val="nil"/>
        </w:pBdr>
        <w:spacing w:after="0" w:line="240" w:lineRule="auto"/>
        <w:ind w:left="284"/>
        <w:jc w:val="both"/>
        <w:rPr>
          <w:rFonts w:ascii="Arial" w:eastAsia="Arial" w:hAnsi="Arial" w:cs="Arial"/>
          <w:b/>
          <w:color w:val="000000"/>
          <w:sz w:val="24"/>
          <w:szCs w:val="24"/>
        </w:rPr>
      </w:pPr>
      <w:bookmarkStart w:id="3" w:name="_heading=h.m6xmcf63kk0h" w:colFirst="0" w:colLast="0"/>
      <w:bookmarkEnd w:id="3"/>
      <w:r>
        <w:rPr>
          <w:rFonts w:ascii="Arial" w:eastAsia="Arial" w:hAnsi="Arial" w:cs="Arial"/>
          <w:b/>
          <w:color w:val="000000"/>
          <w:sz w:val="24"/>
          <w:szCs w:val="24"/>
        </w:rPr>
        <w:t>11.</w:t>
      </w:r>
      <w:r w:rsidRPr="00843A92">
        <w:rPr>
          <w:rFonts w:ascii="Arial" w:eastAsia="Arial" w:hAnsi="Arial" w:cs="Arial"/>
          <w:b/>
          <w:color w:val="000000"/>
          <w:sz w:val="24"/>
          <w:szCs w:val="24"/>
        </w:rPr>
        <w:t xml:space="preserve"> Fideicomiso Fondo Empresarial de Tabasco. FET</w:t>
      </w:r>
    </w:p>
    <w:p w14:paraId="3FCE196A" w14:textId="2A896083" w:rsidR="00457E53" w:rsidRPr="00843A92" w:rsidRDefault="00457E53" w:rsidP="00457E53">
      <w:pPr>
        <w:spacing w:after="0" w:line="240" w:lineRule="auto"/>
        <w:ind w:left="780"/>
        <w:jc w:val="both"/>
        <w:rPr>
          <w:rFonts w:ascii="Arial" w:eastAsia="Arial" w:hAnsi="Arial" w:cs="Arial"/>
          <w:sz w:val="24"/>
          <w:szCs w:val="24"/>
        </w:rPr>
      </w:pPr>
      <w:r w:rsidRPr="00843A92">
        <w:rPr>
          <w:rFonts w:ascii="Arial" w:eastAsia="Arial" w:hAnsi="Arial" w:cs="Arial"/>
          <w:sz w:val="24"/>
          <w:szCs w:val="24"/>
        </w:rPr>
        <w:t>Dependencia o sector: Secretaría para el Desarrollo Económico y la Competitividad</w:t>
      </w:r>
    </w:p>
    <w:p w14:paraId="60B1CC1A" w14:textId="77777777" w:rsidR="00457E53" w:rsidRPr="00843A92" w:rsidRDefault="00457E53" w:rsidP="00457E53">
      <w:pPr>
        <w:spacing w:after="0" w:line="240" w:lineRule="auto"/>
        <w:ind w:firstLine="708"/>
        <w:jc w:val="both"/>
        <w:rPr>
          <w:rFonts w:ascii="Arial" w:eastAsia="Arial" w:hAnsi="Arial" w:cs="Arial"/>
          <w:sz w:val="24"/>
          <w:szCs w:val="24"/>
        </w:rPr>
      </w:pPr>
      <w:r w:rsidRPr="00843A92">
        <w:rPr>
          <w:rFonts w:ascii="Arial" w:eastAsia="Arial" w:hAnsi="Arial" w:cs="Arial"/>
          <w:sz w:val="24"/>
          <w:szCs w:val="24"/>
        </w:rPr>
        <w:t xml:space="preserve"> Fiduciario: Nacional Financiera S.N.C</w:t>
      </w:r>
    </w:p>
    <w:p w14:paraId="1FEFDE0F" w14:textId="77777777" w:rsidR="00457E53" w:rsidRPr="00843A92" w:rsidRDefault="00457E53" w:rsidP="00457E53">
      <w:pPr>
        <w:spacing w:after="0" w:line="240" w:lineRule="auto"/>
        <w:ind w:firstLine="708"/>
        <w:jc w:val="both"/>
        <w:rPr>
          <w:rFonts w:ascii="Arial" w:eastAsia="Arial" w:hAnsi="Arial" w:cs="Arial"/>
          <w:sz w:val="24"/>
          <w:szCs w:val="24"/>
        </w:rPr>
      </w:pPr>
      <w:r w:rsidRPr="00843A92">
        <w:rPr>
          <w:rFonts w:ascii="Arial" w:eastAsia="Arial" w:hAnsi="Arial" w:cs="Arial"/>
          <w:sz w:val="24"/>
          <w:szCs w:val="24"/>
        </w:rPr>
        <w:t xml:space="preserve"> Contrato No: 80227</w:t>
      </w:r>
    </w:p>
    <w:p w14:paraId="5026AC68" w14:textId="77777777" w:rsidR="00457E53" w:rsidRPr="00843A92" w:rsidRDefault="00457E53" w:rsidP="00457E53">
      <w:pPr>
        <w:spacing w:after="0" w:line="240" w:lineRule="auto"/>
        <w:ind w:firstLine="708"/>
        <w:jc w:val="both"/>
        <w:rPr>
          <w:rFonts w:ascii="Arial" w:eastAsia="Arial" w:hAnsi="Arial" w:cs="Arial"/>
          <w:sz w:val="24"/>
          <w:szCs w:val="24"/>
        </w:rPr>
      </w:pPr>
      <w:r w:rsidRPr="00843A92">
        <w:rPr>
          <w:rFonts w:ascii="Arial" w:eastAsia="Arial" w:hAnsi="Arial" w:cs="Arial"/>
          <w:sz w:val="24"/>
          <w:szCs w:val="24"/>
        </w:rPr>
        <w:t xml:space="preserve"> Tipo de fideicomiso: Inversión y administración</w:t>
      </w:r>
    </w:p>
    <w:p w14:paraId="76B0EC24" w14:textId="77777777" w:rsidR="00457E53" w:rsidRPr="00843A92" w:rsidRDefault="00457E53" w:rsidP="00457E53">
      <w:pPr>
        <w:spacing w:after="0" w:line="240" w:lineRule="auto"/>
        <w:ind w:firstLine="708"/>
        <w:jc w:val="both"/>
        <w:rPr>
          <w:rFonts w:ascii="Arial" w:eastAsia="Arial" w:hAnsi="Arial" w:cs="Arial"/>
          <w:b/>
          <w:sz w:val="24"/>
          <w:szCs w:val="24"/>
        </w:rPr>
      </w:pPr>
      <w:r w:rsidRPr="00843A92">
        <w:rPr>
          <w:rFonts w:ascii="Arial" w:eastAsia="Arial" w:hAnsi="Arial" w:cs="Arial"/>
          <w:sz w:val="24"/>
          <w:szCs w:val="24"/>
        </w:rPr>
        <w:t xml:space="preserve"> Saldo: </w:t>
      </w:r>
      <w:r w:rsidRPr="00843A92">
        <w:rPr>
          <w:rFonts w:ascii="Arial" w:eastAsia="Arial" w:hAnsi="Arial" w:cs="Arial"/>
          <w:b/>
          <w:sz w:val="24"/>
          <w:szCs w:val="24"/>
        </w:rPr>
        <w:t>$</w:t>
      </w:r>
      <w:r>
        <w:rPr>
          <w:rFonts w:ascii="Arial" w:eastAsia="Arial" w:hAnsi="Arial" w:cs="Arial"/>
          <w:b/>
          <w:sz w:val="24"/>
          <w:szCs w:val="24"/>
        </w:rPr>
        <w:t>43</w:t>
      </w:r>
      <w:proofErr w:type="gramStart"/>
      <w:r>
        <w:rPr>
          <w:rFonts w:ascii="Arial" w:eastAsia="Arial" w:hAnsi="Arial" w:cs="Arial"/>
          <w:b/>
          <w:sz w:val="24"/>
          <w:szCs w:val="24"/>
        </w:rPr>
        <w:t>,173,891</w:t>
      </w:r>
      <w:proofErr w:type="gramEnd"/>
    </w:p>
    <w:p w14:paraId="7C602386" w14:textId="77777777" w:rsidR="00457E53" w:rsidRPr="00843A92" w:rsidRDefault="00457E53" w:rsidP="00457E53">
      <w:pPr>
        <w:spacing w:after="0" w:line="240" w:lineRule="auto"/>
        <w:ind w:firstLine="708"/>
        <w:jc w:val="both"/>
        <w:rPr>
          <w:rFonts w:ascii="Arial" w:eastAsia="Arial" w:hAnsi="Arial" w:cs="Arial"/>
          <w:b/>
          <w:sz w:val="24"/>
          <w:szCs w:val="24"/>
        </w:rPr>
      </w:pPr>
    </w:p>
    <w:p w14:paraId="0F3FD507" w14:textId="77777777" w:rsidR="00457E53" w:rsidRPr="00843A92" w:rsidRDefault="00457E53" w:rsidP="00457E53">
      <w:pPr>
        <w:spacing w:after="0" w:line="240" w:lineRule="auto"/>
        <w:jc w:val="both"/>
        <w:rPr>
          <w:rFonts w:ascii="Arial" w:eastAsia="Arial" w:hAnsi="Arial" w:cs="Arial"/>
          <w:sz w:val="24"/>
          <w:szCs w:val="24"/>
        </w:rPr>
      </w:pPr>
      <w:r w:rsidRPr="00843A92">
        <w:rPr>
          <w:rFonts w:ascii="Arial" w:eastAsia="Arial" w:hAnsi="Arial" w:cs="Arial"/>
          <w:sz w:val="24"/>
          <w:szCs w:val="24"/>
        </w:rPr>
        <w:t xml:space="preserve">     Con fecha 30 de octubre del 2002, el Gobierno del Estado de Tabasco, celebró un Contrato de Fideicomiso mediante el cual constituyó el Fideicomiso denominado "FONDO EMPRESARIAL DE TABASCO", cuyo principal objetivo es fomentar el desarrollo de las Empresas del Estado de Tabasco, mediante la operación de un sistema de otorgamiento de apoyos financieros a las empresas establecidas o por establecerse en el Estado de Tabasco. Durante el presente ejercicio, se continúa con el análisis y respectiva aprobación de diversas solicitudes de apoyo del Programa UDP- </w:t>
      </w:r>
      <w:proofErr w:type="spellStart"/>
      <w:r w:rsidRPr="00843A92">
        <w:rPr>
          <w:rFonts w:ascii="Arial" w:eastAsia="Arial" w:hAnsi="Arial" w:cs="Arial"/>
          <w:sz w:val="24"/>
          <w:szCs w:val="24"/>
        </w:rPr>
        <w:t>Focir</w:t>
      </w:r>
      <w:proofErr w:type="spellEnd"/>
      <w:r w:rsidRPr="00843A92">
        <w:rPr>
          <w:rFonts w:ascii="Arial" w:eastAsia="Arial" w:hAnsi="Arial" w:cs="Arial"/>
          <w:sz w:val="24"/>
          <w:szCs w:val="24"/>
        </w:rPr>
        <w:t xml:space="preserve"> y BANMUJER. </w:t>
      </w:r>
    </w:p>
    <w:p w14:paraId="1EDC1F13" w14:textId="77777777" w:rsidR="00457E53" w:rsidRPr="00843A92" w:rsidRDefault="00457E53" w:rsidP="00457E53">
      <w:pPr>
        <w:spacing w:after="0" w:line="240" w:lineRule="auto"/>
        <w:jc w:val="both"/>
        <w:rPr>
          <w:rFonts w:ascii="Arial" w:eastAsia="Arial" w:hAnsi="Arial" w:cs="Arial"/>
          <w:sz w:val="24"/>
          <w:szCs w:val="24"/>
        </w:rPr>
      </w:pPr>
    </w:p>
    <w:p w14:paraId="7DA0D1D9" w14:textId="77777777" w:rsidR="00457E53" w:rsidRPr="00843A92" w:rsidRDefault="00457E53" w:rsidP="00457E53">
      <w:pPr>
        <w:pBdr>
          <w:top w:val="nil"/>
          <w:left w:val="nil"/>
          <w:bottom w:val="nil"/>
          <w:right w:val="nil"/>
          <w:between w:val="nil"/>
        </w:pBdr>
        <w:spacing w:after="0" w:line="240" w:lineRule="auto"/>
        <w:ind w:left="360"/>
        <w:jc w:val="both"/>
        <w:rPr>
          <w:rFonts w:ascii="Arial" w:eastAsia="Arial" w:hAnsi="Arial" w:cs="Arial"/>
          <w:b/>
          <w:color w:val="000000"/>
          <w:sz w:val="24"/>
          <w:szCs w:val="24"/>
        </w:rPr>
      </w:pPr>
      <w:r>
        <w:rPr>
          <w:rFonts w:ascii="Arial" w:eastAsia="Arial" w:hAnsi="Arial" w:cs="Arial"/>
          <w:b/>
          <w:color w:val="000000"/>
          <w:sz w:val="24"/>
          <w:szCs w:val="24"/>
        </w:rPr>
        <w:t>12.</w:t>
      </w:r>
      <w:r w:rsidRPr="00843A92">
        <w:rPr>
          <w:rFonts w:ascii="Arial" w:eastAsia="Arial" w:hAnsi="Arial" w:cs="Arial"/>
          <w:b/>
          <w:color w:val="000000"/>
          <w:sz w:val="24"/>
          <w:szCs w:val="24"/>
        </w:rPr>
        <w:t xml:space="preserve">  Fideicomiso Fondo de Contingencias del Estado de Tabasco. FOCOTAB</w:t>
      </w:r>
    </w:p>
    <w:p w14:paraId="1D9F69A5" w14:textId="77777777" w:rsidR="00457E53" w:rsidRPr="00843A92" w:rsidRDefault="00457E53" w:rsidP="00457E53">
      <w:pPr>
        <w:spacing w:after="0" w:line="240" w:lineRule="auto"/>
        <w:ind w:left="851" w:hanging="142"/>
        <w:jc w:val="both"/>
        <w:rPr>
          <w:rFonts w:ascii="Arial" w:eastAsia="Arial" w:hAnsi="Arial" w:cs="Arial"/>
          <w:sz w:val="24"/>
          <w:szCs w:val="24"/>
        </w:rPr>
      </w:pPr>
      <w:r w:rsidRPr="00843A92">
        <w:rPr>
          <w:rFonts w:ascii="Arial" w:eastAsia="Arial" w:hAnsi="Arial" w:cs="Arial"/>
          <w:sz w:val="24"/>
          <w:szCs w:val="24"/>
        </w:rPr>
        <w:t xml:space="preserve">  Dependencia o sector: Secretaría de Seguridad y Protección Ciudadana, a través   del Instituto de Protección Civil del Estado de Tabasco</w:t>
      </w:r>
    </w:p>
    <w:p w14:paraId="07A4A381" w14:textId="77777777" w:rsidR="00457E53" w:rsidRPr="00843A92" w:rsidRDefault="00457E53" w:rsidP="00457E53">
      <w:pPr>
        <w:spacing w:after="0" w:line="240" w:lineRule="auto"/>
        <w:ind w:left="851" w:hanging="142"/>
        <w:jc w:val="both"/>
        <w:rPr>
          <w:rFonts w:ascii="Arial" w:eastAsia="Arial" w:hAnsi="Arial" w:cs="Arial"/>
          <w:sz w:val="24"/>
          <w:szCs w:val="24"/>
        </w:rPr>
      </w:pPr>
      <w:r w:rsidRPr="00843A92">
        <w:rPr>
          <w:rFonts w:ascii="Arial" w:eastAsia="Arial" w:hAnsi="Arial" w:cs="Arial"/>
          <w:sz w:val="24"/>
          <w:szCs w:val="24"/>
        </w:rPr>
        <w:t xml:space="preserve">  Fiduciario: Banobras S.N.C.</w:t>
      </w:r>
    </w:p>
    <w:p w14:paraId="5221470E" w14:textId="77777777" w:rsidR="00457E53" w:rsidRPr="00843A92" w:rsidRDefault="00457E53" w:rsidP="00457E53">
      <w:pPr>
        <w:spacing w:after="0" w:line="240" w:lineRule="auto"/>
        <w:ind w:left="851" w:hanging="142"/>
        <w:jc w:val="both"/>
        <w:rPr>
          <w:rFonts w:ascii="Arial" w:eastAsia="Arial" w:hAnsi="Arial" w:cs="Arial"/>
          <w:sz w:val="24"/>
          <w:szCs w:val="24"/>
        </w:rPr>
      </w:pPr>
      <w:r w:rsidRPr="00843A92">
        <w:rPr>
          <w:rFonts w:ascii="Arial" w:eastAsia="Arial" w:hAnsi="Arial" w:cs="Arial"/>
          <w:sz w:val="24"/>
          <w:szCs w:val="24"/>
        </w:rPr>
        <w:t xml:space="preserve">  Contrato No: 2066</w:t>
      </w:r>
    </w:p>
    <w:p w14:paraId="61AFD0F4" w14:textId="77777777" w:rsidR="00457E53" w:rsidRPr="00843A92" w:rsidRDefault="00457E53" w:rsidP="00457E53">
      <w:pPr>
        <w:spacing w:after="0" w:line="240" w:lineRule="auto"/>
        <w:ind w:left="851" w:hanging="142"/>
        <w:jc w:val="both"/>
        <w:rPr>
          <w:rFonts w:ascii="Arial" w:eastAsia="Arial" w:hAnsi="Arial" w:cs="Arial"/>
          <w:sz w:val="24"/>
          <w:szCs w:val="24"/>
        </w:rPr>
      </w:pPr>
      <w:r w:rsidRPr="00843A92">
        <w:rPr>
          <w:rFonts w:ascii="Arial" w:eastAsia="Arial" w:hAnsi="Arial" w:cs="Arial"/>
          <w:sz w:val="24"/>
          <w:szCs w:val="24"/>
        </w:rPr>
        <w:t xml:space="preserve">  Tipo: Irrevocable de administración, inversión y fuente de pago</w:t>
      </w:r>
    </w:p>
    <w:p w14:paraId="30F01DEC" w14:textId="77777777" w:rsidR="00457E53" w:rsidRPr="00843A92" w:rsidRDefault="00457E53" w:rsidP="00457E53">
      <w:pPr>
        <w:spacing w:after="0" w:line="240" w:lineRule="auto"/>
        <w:ind w:left="851" w:hanging="142"/>
        <w:jc w:val="both"/>
        <w:rPr>
          <w:rFonts w:ascii="Arial" w:eastAsia="Arial" w:hAnsi="Arial" w:cs="Arial"/>
          <w:b/>
          <w:sz w:val="24"/>
          <w:szCs w:val="24"/>
        </w:rPr>
      </w:pPr>
      <w:r w:rsidRPr="00843A92">
        <w:rPr>
          <w:rFonts w:ascii="Arial" w:eastAsia="Arial" w:hAnsi="Arial" w:cs="Arial"/>
          <w:sz w:val="24"/>
          <w:szCs w:val="24"/>
        </w:rPr>
        <w:t xml:space="preserve">  Saldo: </w:t>
      </w:r>
      <w:r w:rsidRPr="00843A92">
        <w:rPr>
          <w:rFonts w:ascii="Arial" w:eastAsia="Arial" w:hAnsi="Arial" w:cs="Arial"/>
          <w:b/>
          <w:sz w:val="24"/>
          <w:szCs w:val="24"/>
        </w:rPr>
        <w:t>$</w:t>
      </w:r>
      <w:r>
        <w:rPr>
          <w:rFonts w:ascii="Arial" w:eastAsia="Arial" w:hAnsi="Arial" w:cs="Arial"/>
          <w:b/>
          <w:sz w:val="24"/>
          <w:szCs w:val="24"/>
        </w:rPr>
        <w:t>1</w:t>
      </w:r>
      <w:proofErr w:type="gramStart"/>
      <w:r>
        <w:rPr>
          <w:rFonts w:ascii="Arial" w:eastAsia="Arial" w:hAnsi="Arial" w:cs="Arial"/>
          <w:b/>
          <w:sz w:val="24"/>
          <w:szCs w:val="24"/>
        </w:rPr>
        <w:t>,307,221</w:t>
      </w:r>
      <w:proofErr w:type="gramEnd"/>
    </w:p>
    <w:p w14:paraId="06B8B530" w14:textId="77777777" w:rsidR="00457E53" w:rsidRPr="00843A92" w:rsidRDefault="00457E53" w:rsidP="00457E53">
      <w:pPr>
        <w:spacing w:after="0" w:line="240" w:lineRule="auto"/>
        <w:ind w:left="851" w:hanging="142"/>
        <w:jc w:val="both"/>
        <w:rPr>
          <w:rFonts w:ascii="Arial" w:eastAsia="Arial" w:hAnsi="Arial" w:cs="Arial"/>
          <w:b/>
          <w:sz w:val="24"/>
          <w:szCs w:val="24"/>
        </w:rPr>
      </w:pPr>
    </w:p>
    <w:p w14:paraId="770BACBB" w14:textId="77777777" w:rsidR="00457E53" w:rsidRDefault="00457E53" w:rsidP="00457E53">
      <w:pPr>
        <w:spacing w:after="0" w:line="240" w:lineRule="auto"/>
        <w:jc w:val="both"/>
        <w:rPr>
          <w:rFonts w:ascii="Arial" w:eastAsia="Arial" w:hAnsi="Arial" w:cs="Arial"/>
          <w:sz w:val="24"/>
          <w:szCs w:val="24"/>
        </w:rPr>
      </w:pPr>
      <w:r w:rsidRPr="00843A92">
        <w:rPr>
          <w:rFonts w:ascii="Arial" w:eastAsia="Arial" w:hAnsi="Arial" w:cs="Arial"/>
          <w:sz w:val="24"/>
          <w:szCs w:val="24"/>
        </w:rPr>
        <w:t xml:space="preserve">Instrumento para establecer un mecanismo financiero ágil y transparente para que en la eventualidad de un desastre natural o en la alta probabilidad de una ocurrencia de desastre natural, se pueda apoyar a la población afectada. Durante </w:t>
      </w:r>
      <w:r w:rsidRPr="00843A92">
        <w:rPr>
          <w:rFonts w:ascii="Arial" w:eastAsia="Arial" w:hAnsi="Arial" w:cs="Arial"/>
          <w:sz w:val="24"/>
          <w:szCs w:val="24"/>
        </w:rPr>
        <w:lastRenderedPageBreak/>
        <w:t>el presente trimestre, se destinaron recursos por la cantidad de $2’569,771.20 para atender  la atención a familias afectadas por la inundación fluvial y pluvial que dejó la onda tropical número 28 y 29.</w:t>
      </w:r>
    </w:p>
    <w:p w14:paraId="0418183C" w14:textId="77777777" w:rsidR="00267429" w:rsidRDefault="00267429" w:rsidP="00457E53">
      <w:pPr>
        <w:spacing w:after="0" w:line="240" w:lineRule="auto"/>
        <w:jc w:val="both"/>
        <w:rPr>
          <w:rFonts w:ascii="Arial" w:eastAsia="Arial" w:hAnsi="Arial" w:cs="Arial"/>
          <w:sz w:val="24"/>
          <w:szCs w:val="24"/>
        </w:rPr>
      </w:pPr>
    </w:p>
    <w:p w14:paraId="2707AB7F" w14:textId="77777777" w:rsidR="00457E53" w:rsidRDefault="00457E53" w:rsidP="00457E53">
      <w:pPr>
        <w:spacing w:after="0" w:line="240" w:lineRule="auto"/>
        <w:jc w:val="both"/>
        <w:rPr>
          <w:rFonts w:ascii="Arial" w:eastAsia="Arial" w:hAnsi="Arial" w:cs="Arial"/>
          <w:sz w:val="24"/>
          <w:szCs w:val="24"/>
        </w:rPr>
      </w:pPr>
    </w:p>
    <w:p w14:paraId="6C4AE134" w14:textId="77777777" w:rsidR="00457E53" w:rsidRPr="00843A92" w:rsidRDefault="00457E53" w:rsidP="00457E53">
      <w:pPr>
        <w:pBdr>
          <w:top w:val="nil"/>
          <w:left w:val="nil"/>
          <w:bottom w:val="nil"/>
          <w:right w:val="nil"/>
          <w:between w:val="nil"/>
        </w:pBdr>
        <w:spacing w:after="0" w:line="240" w:lineRule="auto"/>
        <w:ind w:left="360"/>
        <w:jc w:val="both"/>
        <w:rPr>
          <w:rFonts w:ascii="Arial" w:eastAsia="Arial" w:hAnsi="Arial" w:cs="Arial"/>
          <w:b/>
          <w:color w:val="000000"/>
          <w:sz w:val="24"/>
          <w:szCs w:val="24"/>
        </w:rPr>
      </w:pPr>
      <w:r>
        <w:rPr>
          <w:rFonts w:ascii="Arial" w:eastAsia="Arial" w:hAnsi="Arial" w:cs="Arial"/>
          <w:b/>
          <w:color w:val="000000"/>
          <w:sz w:val="24"/>
          <w:szCs w:val="24"/>
        </w:rPr>
        <w:t>13.  Fideicomiso M</w:t>
      </w:r>
      <w:r w:rsidRPr="00843A92">
        <w:rPr>
          <w:rFonts w:ascii="Arial" w:eastAsia="Arial" w:hAnsi="Arial" w:cs="Arial"/>
          <w:b/>
          <w:color w:val="000000"/>
          <w:sz w:val="24"/>
          <w:szCs w:val="24"/>
        </w:rPr>
        <w:t>aestro</w:t>
      </w:r>
    </w:p>
    <w:p w14:paraId="0FAE7F54" w14:textId="77777777" w:rsidR="00457E53" w:rsidRPr="00843A92" w:rsidRDefault="00457E53" w:rsidP="00457E53">
      <w:pPr>
        <w:pBdr>
          <w:top w:val="nil"/>
          <w:left w:val="nil"/>
          <w:bottom w:val="nil"/>
          <w:right w:val="nil"/>
          <w:between w:val="nil"/>
        </w:pBdr>
        <w:spacing w:after="0" w:line="240" w:lineRule="auto"/>
        <w:ind w:left="851"/>
        <w:jc w:val="both"/>
        <w:rPr>
          <w:rFonts w:ascii="Arial" w:eastAsia="Arial" w:hAnsi="Arial" w:cs="Arial"/>
          <w:color w:val="000000"/>
          <w:sz w:val="24"/>
          <w:szCs w:val="24"/>
        </w:rPr>
      </w:pPr>
      <w:r w:rsidRPr="00843A92">
        <w:rPr>
          <w:rFonts w:ascii="Arial" w:eastAsia="Arial" w:hAnsi="Arial" w:cs="Arial"/>
          <w:color w:val="000000"/>
          <w:sz w:val="24"/>
          <w:szCs w:val="24"/>
        </w:rPr>
        <w:t>Dependencia o sector: Secretaría de Finanzas</w:t>
      </w:r>
    </w:p>
    <w:p w14:paraId="345781AC" w14:textId="77777777" w:rsidR="00457E53" w:rsidRPr="00843A92" w:rsidRDefault="00457E53" w:rsidP="00457E53">
      <w:pPr>
        <w:pBdr>
          <w:top w:val="nil"/>
          <w:left w:val="nil"/>
          <w:bottom w:val="nil"/>
          <w:right w:val="nil"/>
          <w:between w:val="nil"/>
        </w:pBdr>
        <w:spacing w:after="0" w:line="240" w:lineRule="auto"/>
        <w:ind w:left="851"/>
        <w:jc w:val="both"/>
        <w:rPr>
          <w:rFonts w:ascii="Arial" w:eastAsia="Arial" w:hAnsi="Arial" w:cs="Arial"/>
          <w:color w:val="000000"/>
          <w:sz w:val="24"/>
          <w:szCs w:val="24"/>
        </w:rPr>
      </w:pPr>
      <w:r w:rsidRPr="00843A92">
        <w:rPr>
          <w:rFonts w:ascii="Arial" w:eastAsia="Arial" w:hAnsi="Arial" w:cs="Arial"/>
          <w:color w:val="000000"/>
          <w:sz w:val="24"/>
          <w:szCs w:val="24"/>
        </w:rPr>
        <w:t>Fiduciario: CIBANCO, S.A.</w:t>
      </w:r>
    </w:p>
    <w:p w14:paraId="1C167A41" w14:textId="77777777" w:rsidR="00457E53" w:rsidRPr="00843A92" w:rsidRDefault="00457E53" w:rsidP="00457E53">
      <w:pPr>
        <w:pBdr>
          <w:top w:val="nil"/>
          <w:left w:val="nil"/>
          <w:bottom w:val="nil"/>
          <w:right w:val="nil"/>
          <w:between w:val="nil"/>
        </w:pBdr>
        <w:spacing w:after="0" w:line="240" w:lineRule="auto"/>
        <w:ind w:left="851"/>
        <w:jc w:val="both"/>
        <w:rPr>
          <w:rFonts w:ascii="Arial" w:eastAsia="Arial" w:hAnsi="Arial" w:cs="Arial"/>
          <w:color w:val="000000"/>
          <w:sz w:val="24"/>
          <w:szCs w:val="24"/>
        </w:rPr>
      </w:pPr>
      <w:r w:rsidRPr="00843A92">
        <w:rPr>
          <w:rFonts w:ascii="Arial" w:eastAsia="Arial" w:hAnsi="Arial" w:cs="Arial"/>
          <w:color w:val="000000"/>
          <w:sz w:val="24"/>
          <w:szCs w:val="24"/>
        </w:rPr>
        <w:t>Contrato No: F/00390</w:t>
      </w:r>
    </w:p>
    <w:p w14:paraId="255CD021" w14:textId="77777777" w:rsidR="00457E53" w:rsidRPr="00843A92" w:rsidRDefault="00457E53" w:rsidP="00457E53">
      <w:pPr>
        <w:pBdr>
          <w:top w:val="nil"/>
          <w:left w:val="nil"/>
          <w:bottom w:val="nil"/>
          <w:right w:val="nil"/>
          <w:between w:val="nil"/>
        </w:pBdr>
        <w:spacing w:after="0" w:line="240" w:lineRule="auto"/>
        <w:ind w:left="851"/>
        <w:jc w:val="both"/>
        <w:rPr>
          <w:rFonts w:ascii="Arial" w:eastAsia="Arial" w:hAnsi="Arial" w:cs="Arial"/>
          <w:color w:val="000000"/>
          <w:sz w:val="24"/>
          <w:szCs w:val="24"/>
        </w:rPr>
      </w:pPr>
      <w:r w:rsidRPr="00843A92">
        <w:rPr>
          <w:rFonts w:ascii="Arial" w:eastAsia="Arial" w:hAnsi="Arial" w:cs="Arial"/>
          <w:color w:val="000000"/>
          <w:sz w:val="24"/>
          <w:szCs w:val="24"/>
        </w:rPr>
        <w:t>Tipo: de Administración, Inversión, Garantía y Fuente de Pago</w:t>
      </w:r>
    </w:p>
    <w:p w14:paraId="74A94486" w14:textId="77777777" w:rsidR="00457E53" w:rsidRPr="00843A92" w:rsidRDefault="00457E53" w:rsidP="00457E53">
      <w:pPr>
        <w:pBdr>
          <w:top w:val="nil"/>
          <w:left w:val="nil"/>
          <w:bottom w:val="nil"/>
          <w:right w:val="nil"/>
          <w:between w:val="nil"/>
        </w:pBdr>
        <w:spacing w:after="0" w:line="240" w:lineRule="auto"/>
        <w:ind w:left="851"/>
        <w:jc w:val="both"/>
        <w:rPr>
          <w:rFonts w:ascii="Arial" w:eastAsia="Arial" w:hAnsi="Arial" w:cs="Arial"/>
          <w:b/>
          <w:color w:val="000000"/>
          <w:sz w:val="24"/>
          <w:szCs w:val="24"/>
        </w:rPr>
      </w:pPr>
      <w:r w:rsidRPr="00843A92">
        <w:rPr>
          <w:rFonts w:ascii="Arial" w:eastAsia="Arial" w:hAnsi="Arial" w:cs="Arial"/>
          <w:color w:val="000000"/>
          <w:sz w:val="24"/>
          <w:szCs w:val="24"/>
        </w:rPr>
        <w:t xml:space="preserve">Saldo: </w:t>
      </w:r>
      <w:r>
        <w:rPr>
          <w:rFonts w:ascii="Arial" w:eastAsia="Arial" w:hAnsi="Arial" w:cs="Arial"/>
          <w:b/>
          <w:color w:val="000000"/>
          <w:sz w:val="24"/>
          <w:szCs w:val="24"/>
        </w:rPr>
        <w:t>$ 175</w:t>
      </w:r>
      <w:proofErr w:type="gramStart"/>
      <w:r>
        <w:rPr>
          <w:rFonts w:ascii="Arial" w:eastAsia="Arial" w:hAnsi="Arial" w:cs="Arial"/>
          <w:b/>
          <w:color w:val="000000"/>
          <w:sz w:val="24"/>
          <w:szCs w:val="24"/>
        </w:rPr>
        <w:t>,040,786</w:t>
      </w:r>
      <w:proofErr w:type="gramEnd"/>
    </w:p>
    <w:p w14:paraId="1CB6ADE9" w14:textId="77777777" w:rsidR="00457E53" w:rsidRPr="00843A92" w:rsidRDefault="00457E53" w:rsidP="00457E53">
      <w:pPr>
        <w:spacing w:after="0" w:line="240" w:lineRule="auto"/>
        <w:jc w:val="both"/>
        <w:rPr>
          <w:rFonts w:ascii="Arial" w:eastAsia="Arial" w:hAnsi="Arial" w:cs="Arial"/>
          <w:b/>
          <w:color w:val="000000"/>
          <w:sz w:val="24"/>
          <w:szCs w:val="24"/>
        </w:rPr>
      </w:pPr>
    </w:p>
    <w:p w14:paraId="273A8668" w14:textId="77777777" w:rsidR="00457E53" w:rsidRDefault="00457E53" w:rsidP="00457E53">
      <w:pPr>
        <w:spacing w:after="0" w:line="240" w:lineRule="auto"/>
        <w:jc w:val="both"/>
        <w:rPr>
          <w:rFonts w:ascii="Arial" w:eastAsia="Arial" w:hAnsi="Arial" w:cs="Arial"/>
          <w:sz w:val="24"/>
          <w:szCs w:val="24"/>
        </w:rPr>
      </w:pPr>
      <w:r w:rsidRPr="00843A92">
        <w:rPr>
          <w:rFonts w:ascii="Arial" w:eastAsia="Arial" w:hAnsi="Arial" w:cs="Arial"/>
          <w:sz w:val="24"/>
          <w:szCs w:val="24"/>
        </w:rPr>
        <w:t xml:space="preserve">Es un medio de administración y pago de los pasivos presentes o futuros a cargo del Fideicomitente, así como proveer las garantías necesarias para el cumplimiento de dichos pasivos; recibe de la Tesorería de la Federación las cantidades derivadas del ejercicio de los derechos sobre las participaciones </w:t>
      </w:r>
      <w:proofErr w:type="spellStart"/>
      <w:r w:rsidRPr="00843A92">
        <w:rPr>
          <w:rFonts w:ascii="Arial" w:eastAsia="Arial" w:hAnsi="Arial" w:cs="Arial"/>
          <w:sz w:val="24"/>
          <w:szCs w:val="24"/>
        </w:rPr>
        <w:t>fideicomitidas</w:t>
      </w:r>
      <w:proofErr w:type="spellEnd"/>
      <w:r w:rsidRPr="00843A92">
        <w:rPr>
          <w:rFonts w:ascii="Arial" w:eastAsia="Arial" w:hAnsi="Arial" w:cs="Arial"/>
          <w:sz w:val="24"/>
          <w:szCs w:val="24"/>
        </w:rPr>
        <w:t>, conforme a las disposiciones legales aplicables y conforme a lo establecido en el Fideicomiso, el Fiduciario deposita dichas cantidades en la cuenta concentradora, realiza las operaciones de pago de capital e intereses de los financiamientos inscritos, pago de servicio de calificadoras y la devolución de los remanentes.</w:t>
      </w:r>
    </w:p>
    <w:p w14:paraId="0B43178E" w14:textId="77777777" w:rsidR="00457E53" w:rsidRPr="00843A92" w:rsidRDefault="00457E53" w:rsidP="00457E53">
      <w:pPr>
        <w:spacing w:after="0" w:line="240" w:lineRule="auto"/>
        <w:jc w:val="both"/>
        <w:rPr>
          <w:rFonts w:ascii="Arial" w:eastAsia="Arial" w:hAnsi="Arial" w:cs="Arial"/>
          <w:sz w:val="24"/>
          <w:szCs w:val="24"/>
        </w:rPr>
      </w:pPr>
      <w:r w:rsidRPr="00843A92">
        <w:rPr>
          <w:rFonts w:ascii="Arial" w:eastAsia="Arial" w:hAnsi="Arial" w:cs="Arial"/>
          <w:sz w:val="24"/>
          <w:szCs w:val="24"/>
        </w:rPr>
        <w:tab/>
      </w:r>
      <w:r w:rsidRPr="00843A92">
        <w:rPr>
          <w:rFonts w:ascii="Arial" w:eastAsia="Arial" w:hAnsi="Arial" w:cs="Arial"/>
          <w:sz w:val="24"/>
          <w:szCs w:val="24"/>
        </w:rPr>
        <w:tab/>
      </w:r>
      <w:r w:rsidRPr="00843A92">
        <w:rPr>
          <w:rFonts w:ascii="Arial" w:eastAsia="Arial" w:hAnsi="Arial" w:cs="Arial"/>
          <w:sz w:val="24"/>
          <w:szCs w:val="24"/>
        </w:rPr>
        <w:tab/>
      </w:r>
      <w:r w:rsidRPr="00843A92">
        <w:rPr>
          <w:rFonts w:ascii="Arial" w:eastAsia="Arial" w:hAnsi="Arial" w:cs="Arial"/>
          <w:sz w:val="24"/>
          <w:szCs w:val="24"/>
        </w:rPr>
        <w:tab/>
      </w:r>
      <w:r w:rsidRPr="00843A92">
        <w:rPr>
          <w:rFonts w:ascii="Arial" w:eastAsia="Arial" w:hAnsi="Arial" w:cs="Arial"/>
          <w:sz w:val="24"/>
          <w:szCs w:val="24"/>
        </w:rPr>
        <w:tab/>
      </w:r>
      <w:r w:rsidRPr="00843A92">
        <w:rPr>
          <w:rFonts w:ascii="Arial" w:eastAsia="Arial" w:hAnsi="Arial" w:cs="Arial"/>
          <w:sz w:val="24"/>
          <w:szCs w:val="24"/>
        </w:rPr>
        <w:tab/>
      </w:r>
      <w:r w:rsidRPr="00843A92">
        <w:rPr>
          <w:rFonts w:ascii="Arial" w:eastAsia="Arial" w:hAnsi="Arial" w:cs="Arial"/>
          <w:sz w:val="24"/>
          <w:szCs w:val="24"/>
        </w:rPr>
        <w:tab/>
      </w:r>
      <w:r w:rsidRPr="00843A92">
        <w:rPr>
          <w:rFonts w:ascii="Arial" w:eastAsia="Arial" w:hAnsi="Arial" w:cs="Arial"/>
          <w:sz w:val="24"/>
          <w:szCs w:val="24"/>
        </w:rPr>
        <w:tab/>
      </w:r>
      <w:r w:rsidRPr="00843A92">
        <w:rPr>
          <w:rFonts w:ascii="Arial" w:eastAsia="Arial" w:hAnsi="Arial" w:cs="Arial"/>
          <w:sz w:val="24"/>
          <w:szCs w:val="24"/>
        </w:rPr>
        <w:tab/>
      </w:r>
    </w:p>
    <w:p w14:paraId="27EB58E9" w14:textId="698896CB" w:rsidR="00457E53" w:rsidRPr="00EE46B5" w:rsidRDefault="00457E53" w:rsidP="00FC4DCF">
      <w:pPr>
        <w:pBdr>
          <w:top w:val="nil"/>
          <w:left w:val="nil"/>
          <w:bottom w:val="nil"/>
          <w:right w:val="nil"/>
          <w:between w:val="nil"/>
        </w:pBdr>
        <w:spacing w:after="0" w:line="240" w:lineRule="auto"/>
        <w:ind w:left="426"/>
        <w:jc w:val="both"/>
        <w:rPr>
          <w:rFonts w:ascii="Arial" w:eastAsia="Arial" w:hAnsi="Arial" w:cs="Arial"/>
          <w:b/>
          <w:color w:val="000000"/>
          <w:sz w:val="24"/>
          <w:szCs w:val="24"/>
        </w:rPr>
      </w:pPr>
      <w:r>
        <w:rPr>
          <w:rFonts w:ascii="Arial" w:eastAsia="Arial" w:hAnsi="Arial" w:cs="Arial"/>
          <w:b/>
          <w:color w:val="000000"/>
          <w:sz w:val="24"/>
          <w:szCs w:val="24"/>
        </w:rPr>
        <w:t>14.</w:t>
      </w:r>
      <w:r w:rsidR="00FC4DCF">
        <w:rPr>
          <w:rFonts w:ascii="Arial" w:eastAsia="Arial" w:hAnsi="Arial" w:cs="Arial"/>
          <w:b/>
          <w:color w:val="000000"/>
          <w:sz w:val="24"/>
          <w:szCs w:val="24"/>
        </w:rPr>
        <w:t xml:space="preserve"> </w:t>
      </w:r>
      <w:r w:rsidRPr="00EE46B5">
        <w:rPr>
          <w:rFonts w:ascii="Arial" w:eastAsia="Arial" w:hAnsi="Arial" w:cs="Arial"/>
          <w:b/>
          <w:color w:val="000000"/>
          <w:sz w:val="24"/>
          <w:szCs w:val="24"/>
        </w:rPr>
        <w:t>Fideicomiso para la Promoción Turística del Estado de Tabasco.  PROMOTUR</w:t>
      </w:r>
    </w:p>
    <w:p w14:paraId="0ABEB093" w14:textId="77777777" w:rsidR="00457E53" w:rsidRPr="00843A92" w:rsidRDefault="00457E53" w:rsidP="00457E53">
      <w:pPr>
        <w:spacing w:after="0" w:line="240" w:lineRule="auto"/>
        <w:ind w:left="143" w:firstLine="577"/>
        <w:jc w:val="both"/>
        <w:rPr>
          <w:rFonts w:ascii="Arial" w:eastAsia="Arial" w:hAnsi="Arial" w:cs="Arial"/>
          <w:sz w:val="24"/>
          <w:szCs w:val="24"/>
        </w:rPr>
      </w:pPr>
      <w:r w:rsidRPr="00843A92">
        <w:rPr>
          <w:rFonts w:ascii="Arial" w:eastAsia="Arial" w:hAnsi="Arial" w:cs="Arial"/>
          <w:sz w:val="24"/>
          <w:szCs w:val="24"/>
        </w:rPr>
        <w:t xml:space="preserve">  Dependencia o sector: Secretaría de Turismo</w:t>
      </w:r>
    </w:p>
    <w:p w14:paraId="5088A748" w14:textId="77777777" w:rsidR="00457E53" w:rsidRPr="00843A92" w:rsidRDefault="00457E53" w:rsidP="00457E53">
      <w:pPr>
        <w:spacing w:after="0" w:line="240" w:lineRule="auto"/>
        <w:ind w:firstLine="708"/>
        <w:jc w:val="both"/>
        <w:rPr>
          <w:rFonts w:ascii="Arial" w:eastAsia="Arial" w:hAnsi="Arial" w:cs="Arial"/>
          <w:sz w:val="24"/>
          <w:szCs w:val="24"/>
        </w:rPr>
      </w:pPr>
      <w:r w:rsidRPr="00843A92">
        <w:rPr>
          <w:rFonts w:ascii="Arial" w:eastAsia="Arial" w:hAnsi="Arial" w:cs="Arial"/>
          <w:sz w:val="24"/>
          <w:szCs w:val="24"/>
        </w:rPr>
        <w:t xml:space="preserve">  Fiduciario: BBVA </w:t>
      </w:r>
    </w:p>
    <w:p w14:paraId="2586519F" w14:textId="77777777" w:rsidR="00457E53" w:rsidRPr="00843A92" w:rsidRDefault="00457E53" w:rsidP="00457E53">
      <w:pPr>
        <w:spacing w:after="0" w:line="240" w:lineRule="auto"/>
        <w:ind w:left="143" w:firstLine="566"/>
        <w:jc w:val="both"/>
        <w:rPr>
          <w:rFonts w:ascii="Arial" w:eastAsia="Arial" w:hAnsi="Arial" w:cs="Arial"/>
          <w:sz w:val="24"/>
          <w:szCs w:val="24"/>
        </w:rPr>
      </w:pPr>
      <w:r w:rsidRPr="00843A92">
        <w:rPr>
          <w:rFonts w:ascii="Arial" w:eastAsia="Arial" w:hAnsi="Arial" w:cs="Arial"/>
          <w:sz w:val="24"/>
          <w:szCs w:val="24"/>
        </w:rPr>
        <w:t xml:space="preserve">  Contrato No: 30840-3</w:t>
      </w:r>
    </w:p>
    <w:p w14:paraId="2CF5F9C9" w14:textId="77777777" w:rsidR="00457E53" w:rsidRPr="00843A92" w:rsidRDefault="00457E53" w:rsidP="00457E53">
      <w:pPr>
        <w:spacing w:after="0" w:line="240" w:lineRule="auto"/>
        <w:ind w:firstLine="143"/>
        <w:jc w:val="both"/>
        <w:rPr>
          <w:rFonts w:ascii="Arial" w:eastAsia="Arial" w:hAnsi="Arial" w:cs="Arial"/>
          <w:sz w:val="24"/>
          <w:szCs w:val="24"/>
        </w:rPr>
      </w:pPr>
      <w:r w:rsidRPr="00843A92">
        <w:rPr>
          <w:rFonts w:ascii="Arial" w:eastAsia="Arial" w:hAnsi="Arial" w:cs="Arial"/>
          <w:sz w:val="24"/>
          <w:szCs w:val="24"/>
        </w:rPr>
        <w:t xml:space="preserve">   </w:t>
      </w:r>
      <w:r w:rsidRPr="00843A92">
        <w:rPr>
          <w:rFonts w:ascii="Arial" w:eastAsia="Arial" w:hAnsi="Arial" w:cs="Arial"/>
          <w:sz w:val="24"/>
          <w:szCs w:val="24"/>
        </w:rPr>
        <w:tab/>
        <w:t xml:space="preserve">  Tipo</w:t>
      </w:r>
      <w:proofErr w:type="gramStart"/>
      <w:r w:rsidRPr="00843A92">
        <w:rPr>
          <w:rFonts w:ascii="Arial" w:eastAsia="Arial" w:hAnsi="Arial" w:cs="Arial"/>
          <w:sz w:val="24"/>
          <w:szCs w:val="24"/>
        </w:rPr>
        <w:t>:  de</w:t>
      </w:r>
      <w:proofErr w:type="gramEnd"/>
      <w:r w:rsidRPr="00843A92">
        <w:rPr>
          <w:rFonts w:ascii="Arial" w:eastAsia="Arial" w:hAnsi="Arial" w:cs="Arial"/>
          <w:sz w:val="24"/>
          <w:szCs w:val="24"/>
        </w:rPr>
        <w:t xml:space="preserve"> Inversión y administración</w:t>
      </w:r>
    </w:p>
    <w:p w14:paraId="737C5042" w14:textId="77777777" w:rsidR="00457E53" w:rsidRPr="00843A92" w:rsidRDefault="00457E53" w:rsidP="00457E53">
      <w:pPr>
        <w:tabs>
          <w:tab w:val="left" w:pos="281"/>
          <w:tab w:val="center" w:pos="6346"/>
        </w:tabs>
        <w:spacing w:line="240" w:lineRule="auto"/>
        <w:jc w:val="left"/>
        <w:rPr>
          <w:rFonts w:ascii="Arial" w:eastAsia="Arial" w:hAnsi="Arial" w:cs="Arial"/>
          <w:b/>
          <w:sz w:val="24"/>
          <w:szCs w:val="24"/>
        </w:rPr>
      </w:pPr>
      <w:r>
        <w:rPr>
          <w:rFonts w:ascii="Arial" w:eastAsia="Arial" w:hAnsi="Arial" w:cs="Arial"/>
          <w:sz w:val="24"/>
          <w:szCs w:val="24"/>
        </w:rPr>
        <w:tab/>
        <w:t xml:space="preserve">        </w:t>
      </w:r>
      <w:r w:rsidRPr="00843A92">
        <w:rPr>
          <w:rFonts w:ascii="Arial" w:eastAsia="Arial" w:hAnsi="Arial" w:cs="Arial"/>
          <w:sz w:val="24"/>
          <w:szCs w:val="24"/>
        </w:rPr>
        <w:t xml:space="preserve"> Saldo: </w:t>
      </w:r>
      <w:r>
        <w:rPr>
          <w:rFonts w:ascii="Arial" w:eastAsia="Arial" w:hAnsi="Arial" w:cs="Arial"/>
          <w:b/>
          <w:sz w:val="24"/>
          <w:szCs w:val="24"/>
        </w:rPr>
        <w:t>$2</w:t>
      </w:r>
      <w:proofErr w:type="gramStart"/>
      <w:r>
        <w:rPr>
          <w:rFonts w:ascii="Arial" w:eastAsia="Arial" w:hAnsi="Arial" w:cs="Arial"/>
          <w:b/>
          <w:sz w:val="24"/>
          <w:szCs w:val="24"/>
        </w:rPr>
        <w:t>,625,565</w:t>
      </w:r>
      <w:proofErr w:type="gramEnd"/>
    </w:p>
    <w:p w14:paraId="031FF5AE" w14:textId="77777777" w:rsidR="00457E53" w:rsidRPr="00843A92" w:rsidRDefault="00457E53" w:rsidP="00457E53">
      <w:pPr>
        <w:spacing w:after="0" w:line="240" w:lineRule="auto"/>
        <w:jc w:val="both"/>
        <w:rPr>
          <w:rFonts w:ascii="Arial" w:eastAsia="Arial" w:hAnsi="Arial" w:cs="Arial"/>
          <w:sz w:val="24"/>
          <w:szCs w:val="24"/>
        </w:rPr>
      </w:pPr>
      <w:r w:rsidRPr="00843A92">
        <w:rPr>
          <w:rFonts w:ascii="Arial" w:eastAsia="Arial" w:hAnsi="Arial" w:cs="Arial"/>
          <w:sz w:val="24"/>
          <w:szCs w:val="24"/>
        </w:rPr>
        <w:t xml:space="preserve">En el presente ejercicio, el Fideicomiso atendió reuniones con organizadores de eventos para la atracción en el Estado, coadyuvando con la Secretaría de Turismo en diversas campañas de promoción turística 2021, concretando así la confirmación de 23 eventos para el ejercicio 2022. </w:t>
      </w:r>
    </w:p>
    <w:p w14:paraId="7C20D7DE" w14:textId="77777777" w:rsidR="00457E53" w:rsidRPr="00843A92" w:rsidRDefault="00457E53" w:rsidP="00457E53">
      <w:pPr>
        <w:spacing w:after="0" w:line="240" w:lineRule="auto"/>
        <w:jc w:val="both"/>
        <w:rPr>
          <w:rFonts w:ascii="Arial" w:eastAsia="Arial" w:hAnsi="Arial" w:cs="Arial"/>
          <w:sz w:val="24"/>
          <w:szCs w:val="24"/>
        </w:rPr>
      </w:pPr>
    </w:p>
    <w:p w14:paraId="130660AE" w14:textId="4893A23F" w:rsidR="00457E53" w:rsidRPr="00843A92" w:rsidRDefault="00457E53" w:rsidP="00457E53">
      <w:pPr>
        <w:pBdr>
          <w:top w:val="nil"/>
          <w:left w:val="nil"/>
          <w:bottom w:val="nil"/>
          <w:right w:val="nil"/>
          <w:between w:val="nil"/>
        </w:pBdr>
        <w:spacing w:after="0" w:line="240" w:lineRule="auto"/>
        <w:ind w:left="360"/>
        <w:jc w:val="both"/>
        <w:rPr>
          <w:rFonts w:ascii="Arial" w:eastAsia="Arial" w:hAnsi="Arial" w:cs="Arial"/>
          <w:b/>
          <w:color w:val="000000"/>
          <w:sz w:val="24"/>
          <w:szCs w:val="24"/>
        </w:rPr>
      </w:pPr>
      <w:r>
        <w:rPr>
          <w:rFonts w:ascii="Arial" w:eastAsia="Arial" w:hAnsi="Arial" w:cs="Arial"/>
          <w:b/>
          <w:color w:val="000000"/>
          <w:sz w:val="24"/>
          <w:szCs w:val="24"/>
        </w:rPr>
        <w:t>15.</w:t>
      </w:r>
      <w:r w:rsidR="00FC4DCF">
        <w:rPr>
          <w:rFonts w:ascii="Arial" w:eastAsia="Arial" w:hAnsi="Arial" w:cs="Arial"/>
          <w:b/>
          <w:color w:val="000000"/>
          <w:sz w:val="24"/>
          <w:szCs w:val="24"/>
        </w:rPr>
        <w:t xml:space="preserve"> </w:t>
      </w:r>
      <w:r w:rsidRPr="00843A92">
        <w:rPr>
          <w:rFonts w:ascii="Arial" w:eastAsia="Arial" w:hAnsi="Arial" w:cs="Arial"/>
          <w:b/>
          <w:color w:val="000000"/>
          <w:sz w:val="24"/>
          <w:szCs w:val="24"/>
        </w:rPr>
        <w:t>Fideicomiso para la Modernización del Transporte Público del Estado de Tabasco. TRANSPORTE</w:t>
      </w:r>
    </w:p>
    <w:p w14:paraId="76B7B585" w14:textId="77777777" w:rsidR="00457E53" w:rsidRPr="00843A92" w:rsidRDefault="00457E53" w:rsidP="00457E53">
      <w:pPr>
        <w:spacing w:after="0" w:line="240" w:lineRule="auto"/>
        <w:ind w:left="851"/>
        <w:jc w:val="both"/>
        <w:rPr>
          <w:rFonts w:ascii="Arial" w:eastAsia="Arial" w:hAnsi="Arial" w:cs="Arial"/>
          <w:sz w:val="24"/>
          <w:szCs w:val="24"/>
        </w:rPr>
      </w:pPr>
      <w:bookmarkStart w:id="4" w:name="_heading=h.3znysh7" w:colFirst="0" w:colLast="0"/>
      <w:bookmarkEnd w:id="4"/>
      <w:r w:rsidRPr="00843A92">
        <w:rPr>
          <w:rFonts w:ascii="Arial" w:eastAsia="Arial" w:hAnsi="Arial" w:cs="Arial"/>
          <w:sz w:val="24"/>
          <w:szCs w:val="24"/>
        </w:rPr>
        <w:t>Dependencia o sector: Secretaría de Movilidad</w:t>
      </w:r>
    </w:p>
    <w:p w14:paraId="00BBA602" w14:textId="77777777" w:rsidR="00457E53" w:rsidRPr="00843A92" w:rsidRDefault="00457E53" w:rsidP="00457E53">
      <w:pPr>
        <w:spacing w:after="0" w:line="240" w:lineRule="auto"/>
        <w:ind w:left="851"/>
        <w:jc w:val="both"/>
        <w:rPr>
          <w:rFonts w:ascii="Arial" w:eastAsia="Arial" w:hAnsi="Arial" w:cs="Arial"/>
          <w:sz w:val="24"/>
          <w:szCs w:val="24"/>
        </w:rPr>
      </w:pPr>
      <w:r w:rsidRPr="00843A92">
        <w:rPr>
          <w:rFonts w:ascii="Arial" w:eastAsia="Arial" w:hAnsi="Arial" w:cs="Arial"/>
          <w:sz w:val="24"/>
          <w:szCs w:val="24"/>
        </w:rPr>
        <w:t xml:space="preserve">Fiduciario: Santander </w:t>
      </w:r>
    </w:p>
    <w:p w14:paraId="39DC436A" w14:textId="77777777" w:rsidR="00457E53" w:rsidRPr="00843A92" w:rsidRDefault="00457E53" w:rsidP="00457E53">
      <w:pPr>
        <w:spacing w:after="0" w:line="240" w:lineRule="auto"/>
        <w:ind w:left="851"/>
        <w:jc w:val="both"/>
        <w:rPr>
          <w:rFonts w:ascii="Arial" w:eastAsia="Arial" w:hAnsi="Arial" w:cs="Arial"/>
          <w:sz w:val="24"/>
          <w:szCs w:val="24"/>
        </w:rPr>
      </w:pPr>
      <w:r w:rsidRPr="00843A92">
        <w:rPr>
          <w:rFonts w:ascii="Arial" w:eastAsia="Arial" w:hAnsi="Arial" w:cs="Arial"/>
          <w:sz w:val="24"/>
          <w:szCs w:val="24"/>
        </w:rPr>
        <w:t>Contrato No: F/2003499</w:t>
      </w:r>
    </w:p>
    <w:p w14:paraId="52130530" w14:textId="77777777" w:rsidR="00457E53" w:rsidRPr="00843A92" w:rsidRDefault="00457E53" w:rsidP="00457E53">
      <w:pPr>
        <w:spacing w:after="0" w:line="240" w:lineRule="auto"/>
        <w:ind w:left="851"/>
        <w:jc w:val="both"/>
        <w:rPr>
          <w:rFonts w:ascii="Arial" w:eastAsia="Arial" w:hAnsi="Arial" w:cs="Arial"/>
          <w:sz w:val="24"/>
          <w:szCs w:val="24"/>
        </w:rPr>
      </w:pPr>
      <w:r w:rsidRPr="00843A92">
        <w:rPr>
          <w:rFonts w:ascii="Arial" w:eastAsia="Arial" w:hAnsi="Arial" w:cs="Arial"/>
          <w:sz w:val="24"/>
          <w:szCs w:val="24"/>
        </w:rPr>
        <w:t>Tipo: de Administración e inversión</w:t>
      </w:r>
    </w:p>
    <w:p w14:paraId="3EBAD2E9" w14:textId="77777777" w:rsidR="00457E53" w:rsidRPr="00843A92" w:rsidRDefault="00457E53" w:rsidP="00457E53">
      <w:pPr>
        <w:spacing w:after="0" w:line="240" w:lineRule="auto"/>
        <w:ind w:left="851"/>
        <w:jc w:val="both"/>
        <w:rPr>
          <w:rFonts w:ascii="Arial" w:eastAsia="Arial" w:hAnsi="Arial" w:cs="Arial"/>
          <w:b/>
          <w:sz w:val="24"/>
          <w:szCs w:val="24"/>
        </w:rPr>
      </w:pPr>
      <w:r w:rsidRPr="00843A92">
        <w:rPr>
          <w:rFonts w:ascii="Arial" w:eastAsia="Arial" w:hAnsi="Arial" w:cs="Arial"/>
          <w:sz w:val="24"/>
          <w:szCs w:val="24"/>
        </w:rPr>
        <w:t xml:space="preserve">Saldo: </w:t>
      </w:r>
      <w:r>
        <w:rPr>
          <w:rFonts w:ascii="Arial" w:eastAsia="Arial" w:hAnsi="Arial" w:cs="Arial"/>
          <w:b/>
          <w:sz w:val="24"/>
          <w:szCs w:val="24"/>
        </w:rPr>
        <w:t>$9</w:t>
      </w:r>
      <w:proofErr w:type="gramStart"/>
      <w:r>
        <w:rPr>
          <w:rFonts w:ascii="Arial" w:eastAsia="Arial" w:hAnsi="Arial" w:cs="Arial"/>
          <w:b/>
          <w:sz w:val="24"/>
          <w:szCs w:val="24"/>
        </w:rPr>
        <w:t>,313,922</w:t>
      </w:r>
      <w:proofErr w:type="gramEnd"/>
    </w:p>
    <w:p w14:paraId="203A11A2" w14:textId="77777777" w:rsidR="00457E53" w:rsidRPr="00843A92" w:rsidRDefault="00457E53" w:rsidP="00457E53">
      <w:pPr>
        <w:spacing w:after="0" w:line="240" w:lineRule="auto"/>
        <w:jc w:val="both"/>
        <w:rPr>
          <w:rFonts w:ascii="Arial" w:eastAsia="Arial" w:hAnsi="Arial" w:cs="Arial"/>
          <w:b/>
          <w:sz w:val="24"/>
          <w:szCs w:val="24"/>
        </w:rPr>
      </w:pPr>
    </w:p>
    <w:p w14:paraId="6EC33749" w14:textId="77777777" w:rsidR="00457E53" w:rsidRPr="00843A92" w:rsidRDefault="00457E53" w:rsidP="00FC4DCF">
      <w:pPr>
        <w:spacing w:after="0" w:line="240" w:lineRule="auto"/>
        <w:ind w:left="-142"/>
        <w:jc w:val="both"/>
        <w:rPr>
          <w:rFonts w:ascii="Arial" w:eastAsia="Arial" w:hAnsi="Arial" w:cs="Arial"/>
          <w:sz w:val="24"/>
          <w:szCs w:val="24"/>
        </w:rPr>
      </w:pPr>
      <w:bookmarkStart w:id="5" w:name="_heading=h.gjdgxs" w:colFirst="0" w:colLast="0"/>
      <w:bookmarkEnd w:id="5"/>
      <w:r w:rsidRPr="00843A92">
        <w:rPr>
          <w:rFonts w:ascii="Arial" w:eastAsia="Arial" w:hAnsi="Arial" w:cs="Arial"/>
          <w:sz w:val="24"/>
          <w:szCs w:val="24"/>
        </w:rPr>
        <w:lastRenderedPageBreak/>
        <w:t>En el 2008, el Gobierno del Estado Libre y Soberano de Tabasco, constituyó el presente Fideicomiso, con la finalidad de establecer un patrimonio autónomo que será destinado a cubrir los costos y gastos para la modernización del transporte público urbano de la ciudad de Villahermosa, Tabasco, de conformidad con el Programa de "Obras Públicas y Modernización de los Servicios de Comunicaciones y Transportes para un Tabasco Competitivo”. En el presente trimestre no se comprometieron recursos del patrimonio.</w:t>
      </w:r>
    </w:p>
    <w:p w14:paraId="522CD7A4" w14:textId="77777777" w:rsidR="00457E53" w:rsidRPr="00843A92" w:rsidRDefault="00457E53" w:rsidP="00457E53">
      <w:pPr>
        <w:spacing w:after="0" w:line="240" w:lineRule="auto"/>
        <w:jc w:val="both"/>
        <w:rPr>
          <w:rFonts w:ascii="Arial" w:eastAsia="Arial" w:hAnsi="Arial" w:cs="Arial"/>
          <w:sz w:val="24"/>
          <w:szCs w:val="24"/>
        </w:rPr>
      </w:pPr>
      <w:bookmarkStart w:id="6" w:name="_heading=h.elcy185yfyqh" w:colFirst="0" w:colLast="0"/>
      <w:bookmarkEnd w:id="6"/>
    </w:p>
    <w:p w14:paraId="1D598C9E" w14:textId="37801ADF" w:rsidR="00457E53" w:rsidRPr="00EE46B5" w:rsidRDefault="00457E53" w:rsidP="00FC4DCF">
      <w:pPr>
        <w:pBdr>
          <w:top w:val="nil"/>
          <w:left w:val="nil"/>
          <w:bottom w:val="nil"/>
          <w:right w:val="nil"/>
          <w:between w:val="nil"/>
        </w:pBdr>
        <w:spacing w:after="0" w:line="240" w:lineRule="auto"/>
        <w:ind w:left="426"/>
        <w:jc w:val="both"/>
        <w:rPr>
          <w:rFonts w:ascii="Arial" w:eastAsia="Arial" w:hAnsi="Arial" w:cs="Arial"/>
          <w:b/>
          <w:color w:val="000000"/>
          <w:sz w:val="24"/>
          <w:szCs w:val="24"/>
        </w:rPr>
      </w:pPr>
      <w:bookmarkStart w:id="7" w:name="_heading=h.mjmuoo5qhsou" w:colFirst="0" w:colLast="0"/>
      <w:bookmarkEnd w:id="7"/>
      <w:r>
        <w:rPr>
          <w:rFonts w:ascii="Arial" w:eastAsia="Arial" w:hAnsi="Arial" w:cs="Arial"/>
          <w:b/>
          <w:color w:val="000000"/>
          <w:sz w:val="24"/>
          <w:szCs w:val="24"/>
        </w:rPr>
        <w:t>16.</w:t>
      </w:r>
      <w:r w:rsidR="00FC4DCF">
        <w:rPr>
          <w:rFonts w:ascii="Arial" w:eastAsia="Arial" w:hAnsi="Arial" w:cs="Arial"/>
          <w:b/>
          <w:color w:val="000000"/>
          <w:sz w:val="24"/>
          <w:szCs w:val="24"/>
        </w:rPr>
        <w:t xml:space="preserve"> </w:t>
      </w:r>
      <w:r w:rsidRPr="00EE46B5">
        <w:rPr>
          <w:rFonts w:ascii="Arial" w:eastAsia="Arial" w:hAnsi="Arial" w:cs="Arial"/>
          <w:b/>
          <w:color w:val="000000"/>
          <w:sz w:val="24"/>
          <w:szCs w:val="24"/>
        </w:rPr>
        <w:t>Fideicomiso de Administración e inversión de ayuda, asistencia y reparación integral a víctimas en el Estado de Tabasco. ATENCION A VICTIMAS</w:t>
      </w:r>
    </w:p>
    <w:p w14:paraId="0F743B4E" w14:textId="77777777" w:rsidR="00457E53" w:rsidRPr="00843A92" w:rsidRDefault="00457E53" w:rsidP="00457E53">
      <w:pPr>
        <w:pBdr>
          <w:top w:val="nil"/>
          <w:left w:val="nil"/>
          <w:bottom w:val="nil"/>
          <w:right w:val="nil"/>
          <w:between w:val="nil"/>
        </w:pBdr>
        <w:spacing w:after="0" w:line="240" w:lineRule="auto"/>
        <w:ind w:left="851"/>
        <w:jc w:val="both"/>
        <w:rPr>
          <w:rFonts w:ascii="Arial" w:eastAsia="Arial" w:hAnsi="Arial" w:cs="Arial"/>
          <w:color w:val="000000"/>
          <w:sz w:val="24"/>
          <w:szCs w:val="24"/>
        </w:rPr>
      </w:pPr>
      <w:r w:rsidRPr="00843A92">
        <w:rPr>
          <w:rFonts w:ascii="Arial" w:eastAsia="Arial" w:hAnsi="Arial" w:cs="Arial"/>
          <w:color w:val="000000"/>
          <w:sz w:val="24"/>
          <w:szCs w:val="24"/>
        </w:rPr>
        <w:t>Dependencia o sector: Secretaría de Gobierno a través Comisión Ejecutiva Estatal de Atención a  Víctimas del Estado de Tabasco</w:t>
      </w:r>
    </w:p>
    <w:p w14:paraId="7913D1C2" w14:textId="77777777" w:rsidR="00457E53" w:rsidRPr="00843A92" w:rsidRDefault="00457E53" w:rsidP="00457E53">
      <w:pPr>
        <w:pBdr>
          <w:top w:val="nil"/>
          <w:left w:val="nil"/>
          <w:bottom w:val="nil"/>
          <w:right w:val="nil"/>
          <w:between w:val="nil"/>
        </w:pBdr>
        <w:spacing w:after="0" w:line="240" w:lineRule="auto"/>
        <w:ind w:left="851"/>
        <w:jc w:val="both"/>
        <w:rPr>
          <w:rFonts w:ascii="Arial" w:eastAsia="Arial" w:hAnsi="Arial" w:cs="Arial"/>
          <w:color w:val="000000"/>
          <w:sz w:val="24"/>
          <w:szCs w:val="24"/>
        </w:rPr>
      </w:pPr>
      <w:r w:rsidRPr="00843A92">
        <w:rPr>
          <w:rFonts w:ascii="Arial" w:eastAsia="Arial" w:hAnsi="Arial" w:cs="Arial"/>
          <w:color w:val="000000"/>
          <w:sz w:val="24"/>
          <w:szCs w:val="24"/>
        </w:rPr>
        <w:t xml:space="preserve">Fiduciario: BBVA </w:t>
      </w:r>
    </w:p>
    <w:p w14:paraId="0863090C" w14:textId="77777777" w:rsidR="00457E53" w:rsidRPr="00843A92" w:rsidRDefault="00457E53" w:rsidP="00457E53">
      <w:pPr>
        <w:pBdr>
          <w:top w:val="nil"/>
          <w:left w:val="nil"/>
          <w:bottom w:val="nil"/>
          <w:right w:val="nil"/>
          <w:between w:val="nil"/>
        </w:pBdr>
        <w:spacing w:after="0" w:line="240" w:lineRule="auto"/>
        <w:ind w:left="851"/>
        <w:jc w:val="both"/>
        <w:rPr>
          <w:rFonts w:ascii="Arial" w:eastAsia="Arial" w:hAnsi="Arial" w:cs="Arial"/>
          <w:color w:val="000000"/>
          <w:sz w:val="24"/>
          <w:szCs w:val="24"/>
        </w:rPr>
      </w:pPr>
      <w:r w:rsidRPr="00843A92">
        <w:rPr>
          <w:rFonts w:ascii="Arial" w:eastAsia="Arial" w:hAnsi="Arial" w:cs="Arial"/>
          <w:color w:val="000000"/>
          <w:sz w:val="24"/>
          <w:szCs w:val="24"/>
        </w:rPr>
        <w:t>Contrato No: F/4110870</w:t>
      </w:r>
    </w:p>
    <w:p w14:paraId="5A5ED7B7" w14:textId="77777777" w:rsidR="00457E53" w:rsidRPr="00843A92" w:rsidRDefault="00457E53" w:rsidP="00457E53">
      <w:pPr>
        <w:pBdr>
          <w:top w:val="nil"/>
          <w:left w:val="nil"/>
          <w:bottom w:val="nil"/>
          <w:right w:val="nil"/>
          <w:between w:val="nil"/>
        </w:pBdr>
        <w:spacing w:after="0" w:line="240" w:lineRule="auto"/>
        <w:ind w:left="851"/>
        <w:jc w:val="both"/>
        <w:rPr>
          <w:rFonts w:ascii="Arial" w:eastAsia="Arial" w:hAnsi="Arial" w:cs="Arial"/>
          <w:color w:val="000000"/>
          <w:sz w:val="24"/>
          <w:szCs w:val="24"/>
        </w:rPr>
      </w:pPr>
      <w:r w:rsidRPr="00843A92">
        <w:rPr>
          <w:rFonts w:ascii="Arial" w:eastAsia="Arial" w:hAnsi="Arial" w:cs="Arial"/>
          <w:color w:val="000000"/>
          <w:sz w:val="24"/>
          <w:szCs w:val="24"/>
        </w:rPr>
        <w:t>Tipo: de Administración e inversión</w:t>
      </w:r>
    </w:p>
    <w:p w14:paraId="038676D4" w14:textId="77777777" w:rsidR="00457E53" w:rsidRDefault="00457E53" w:rsidP="00457E53">
      <w:pPr>
        <w:pBdr>
          <w:top w:val="nil"/>
          <w:left w:val="nil"/>
          <w:bottom w:val="nil"/>
          <w:right w:val="nil"/>
          <w:between w:val="nil"/>
        </w:pBdr>
        <w:spacing w:after="0" w:line="240" w:lineRule="auto"/>
        <w:ind w:left="851"/>
        <w:jc w:val="both"/>
        <w:rPr>
          <w:rFonts w:ascii="Arial" w:eastAsia="Arial" w:hAnsi="Arial" w:cs="Arial"/>
          <w:b/>
          <w:color w:val="000000"/>
          <w:sz w:val="24"/>
          <w:szCs w:val="24"/>
        </w:rPr>
      </w:pPr>
      <w:r w:rsidRPr="00843A92">
        <w:rPr>
          <w:rFonts w:ascii="Arial" w:eastAsia="Arial" w:hAnsi="Arial" w:cs="Arial"/>
          <w:color w:val="000000"/>
          <w:sz w:val="24"/>
          <w:szCs w:val="24"/>
        </w:rPr>
        <w:t xml:space="preserve">Saldo: </w:t>
      </w:r>
      <w:r w:rsidRPr="00843A92">
        <w:rPr>
          <w:rFonts w:ascii="Arial" w:eastAsia="Arial" w:hAnsi="Arial" w:cs="Arial"/>
          <w:b/>
          <w:color w:val="000000"/>
          <w:sz w:val="24"/>
          <w:szCs w:val="24"/>
        </w:rPr>
        <w:t>$</w:t>
      </w:r>
      <w:r>
        <w:rPr>
          <w:rFonts w:ascii="Arial" w:eastAsia="Arial" w:hAnsi="Arial" w:cs="Arial"/>
          <w:b/>
          <w:color w:val="000000"/>
          <w:sz w:val="24"/>
          <w:szCs w:val="24"/>
        </w:rPr>
        <w:t>3</w:t>
      </w:r>
      <w:proofErr w:type="gramStart"/>
      <w:r>
        <w:rPr>
          <w:rFonts w:ascii="Arial" w:eastAsia="Arial" w:hAnsi="Arial" w:cs="Arial"/>
          <w:b/>
          <w:color w:val="000000"/>
          <w:sz w:val="24"/>
          <w:szCs w:val="24"/>
        </w:rPr>
        <w:t>,649,907</w:t>
      </w:r>
      <w:proofErr w:type="gramEnd"/>
    </w:p>
    <w:p w14:paraId="58895358" w14:textId="77777777" w:rsidR="00457E53" w:rsidRPr="00843A92" w:rsidRDefault="00457E53" w:rsidP="00457E53">
      <w:pPr>
        <w:pBdr>
          <w:top w:val="nil"/>
          <w:left w:val="nil"/>
          <w:bottom w:val="nil"/>
          <w:right w:val="nil"/>
          <w:between w:val="nil"/>
        </w:pBdr>
        <w:spacing w:after="0" w:line="240" w:lineRule="auto"/>
        <w:ind w:left="851"/>
        <w:jc w:val="both"/>
        <w:rPr>
          <w:rFonts w:ascii="Arial" w:eastAsia="Arial" w:hAnsi="Arial" w:cs="Arial"/>
          <w:b/>
          <w:color w:val="000000"/>
          <w:sz w:val="24"/>
          <w:szCs w:val="24"/>
        </w:rPr>
      </w:pPr>
    </w:p>
    <w:p w14:paraId="274F36E1" w14:textId="102F1085" w:rsidR="00457E53" w:rsidRPr="00843A92" w:rsidRDefault="00457E53" w:rsidP="00457E53">
      <w:pPr>
        <w:spacing w:after="0" w:line="240" w:lineRule="auto"/>
        <w:jc w:val="both"/>
        <w:rPr>
          <w:rFonts w:ascii="Arial" w:eastAsia="Arial" w:hAnsi="Arial" w:cs="Arial"/>
          <w:sz w:val="24"/>
          <w:szCs w:val="24"/>
        </w:rPr>
      </w:pPr>
      <w:r w:rsidRPr="00843A92">
        <w:rPr>
          <w:rFonts w:ascii="Arial" w:eastAsia="Arial" w:hAnsi="Arial" w:cs="Arial"/>
          <w:sz w:val="24"/>
          <w:szCs w:val="24"/>
        </w:rPr>
        <w:t>Creado el 23 de diciembre de 2019, conforme a lo establecido en el art. 53 de la Ley de Atención a Víctimas del Estado de Tabasco, constituido con una apo</w:t>
      </w:r>
      <w:r w:rsidR="001C5C91">
        <w:rPr>
          <w:rFonts w:ascii="Arial" w:eastAsia="Arial" w:hAnsi="Arial" w:cs="Arial"/>
          <w:sz w:val="24"/>
          <w:szCs w:val="24"/>
        </w:rPr>
        <w:t>rtación inicial de $1</w:t>
      </w:r>
      <w:proofErr w:type="gramStart"/>
      <w:r w:rsidR="001C5C91">
        <w:rPr>
          <w:rFonts w:ascii="Arial" w:eastAsia="Arial" w:hAnsi="Arial" w:cs="Arial"/>
          <w:sz w:val="24"/>
          <w:szCs w:val="24"/>
        </w:rPr>
        <w:t>,867,510</w:t>
      </w:r>
      <w:proofErr w:type="gramEnd"/>
      <w:r w:rsidRPr="00843A92">
        <w:rPr>
          <w:rFonts w:ascii="Arial" w:eastAsia="Arial" w:hAnsi="Arial" w:cs="Arial"/>
          <w:sz w:val="24"/>
          <w:szCs w:val="24"/>
        </w:rPr>
        <w:t>, con el objeto de obtener, administrar y brindar los recursos necesarios para la ayuda, asistencia y reparación integral de las Víctimas del delito y de violaciones a los derechos humanos en el Estado de Tabasco.</w:t>
      </w:r>
    </w:p>
    <w:p w14:paraId="24F91C66" w14:textId="77777777" w:rsidR="00457E53" w:rsidRPr="00843A92" w:rsidRDefault="00457E53" w:rsidP="00457E53">
      <w:pPr>
        <w:spacing w:after="0" w:line="240" w:lineRule="auto"/>
        <w:jc w:val="both"/>
        <w:rPr>
          <w:rFonts w:ascii="Arial" w:eastAsia="Arial" w:hAnsi="Arial" w:cs="Arial"/>
          <w:sz w:val="24"/>
          <w:szCs w:val="24"/>
        </w:rPr>
      </w:pPr>
    </w:p>
    <w:p w14:paraId="03C3338D" w14:textId="23119B91" w:rsidR="00457E53" w:rsidRPr="00843A92" w:rsidRDefault="00457E53" w:rsidP="00FC4DCF">
      <w:pPr>
        <w:pBdr>
          <w:top w:val="nil"/>
          <w:left w:val="nil"/>
          <w:bottom w:val="nil"/>
          <w:right w:val="nil"/>
          <w:between w:val="nil"/>
        </w:pBdr>
        <w:spacing w:after="0" w:line="240" w:lineRule="auto"/>
        <w:ind w:left="426"/>
        <w:jc w:val="both"/>
        <w:rPr>
          <w:rFonts w:ascii="Arial" w:eastAsia="Arial" w:hAnsi="Arial" w:cs="Arial"/>
          <w:color w:val="000000"/>
          <w:sz w:val="24"/>
          <w:szCs w:val="24"/>
        </w:rPr>
      </w:pPr>
      <w:r>
        <w:rPr>
          <w:rFonts w:ascii="Arial" w:eastAsia="Arial" w:hAnsi="Arial" w:cs="Arial"/>
          <w:b/>
          <w:color w:val="000000"/>
          <w:sz w:val="24"/>
          <w:szCs w:val="24"/>
        </w:rPr>
        <w:t>17.</w:t>
      </w:r>
      <w:r w:rsidR="00FC4DCF">
        <w:rPr>
          <w:rFonts w:ascii="Arial" w:eastAsia="Arial" w:hAnsi="Arial" w:cs="Arial"/>
          <w:b/>
          <w:color w:val="000000"/>
          <w:sz w:val="24"/>
          <w:szCs w:val="24"/>
        </w:rPr>
        <w:t xml:space="preserve"> </w:t>
      </w:r>
      <w:r w:rsidRPr="00843A92">
        <w:rPr>
          <w:rFonts w:ascii="Arial" w:eastAsia="Arial" w:hAnsi="Arial" w:cs="Arial"/>
          <w:b/>
          <w:color w:val="000000"/>
          <w:sz w:val="24"/>
          <w:szCs w:val="24"/>
        </w:rPr>
        <w:t>Fideicomiso para la Ciudad Industrial de Villahermosa. CD. INDUSTRIAL</w:t>
      </w:r>
    </w:p>
    <w:p w14:paraId="729D4810" w14:textId="77777777" w:rsidR="00457E53" w:rsidRPr="00843A92" w:rsidRDefault="00457E53" w:rsidP="00457E53">
      <w:pPr>
        <w:spacing w:after="0" w:line="240" w:lineRule="auto"/>
        <w:ind w:firstLine="360"/>
        <w:jc w:val="both"/>
        <w:rPr>
          <w:rFonts w:ascii="Arial" w:eastAsia="Arial" w:hAnsi="Arial" w:cs="Arial"/>
          <w:sz w:val="24"/>
          <w:szCs w:val="24"/>
        </w:rPr>
      </w:pPr>
      <w:r w:rsidRPr="00843A92">
        <w:rPr>
          <w:rFonts w:ascii="Arial" w:eastAsia="Arial" w:hAnsi="Arial" w:cs="Arial"/>
          <w:sz w:val="24"/>
          <w:szCs w:val="24"/>
        </w:rPr>
        <w:t xml:space="preserve">    </w:t>
      </w:r>
      <w:r w:rsidRPr="00843A92">
        <w:rPr>
          <w:rFonts w:ascii="Arial" w:eastAsia="Arial" w:hAnsi="Arial" w:cs="Arial"/>
          <w:sz w:val="24"/>
          <w:szCs w:val="24"/>
        </w:rPr>
        <w:tab/>
        <w:t xml:space="preserve"> Dependencia o sector: Secretaría para el Desarrollo Económico y la Competitividad.</w:t>
      </w:r>
    </w:p>
    <w:p w14:paraId="16E29596" w14:textId="77777777" w:rsidR="00457E53" w:rsidRPr="00843A92" w:rsidRDefault="00457E53" w:rsidP="00457E53">
      <w:pPr>
        <w:spacing w:after="0" w:line="240" w:lineRule="auto"/>
        <w:ind w:firstLine="720"/>
        <w:jc w:val="both"/>
        <w:rPr>
          <w:rFonts w:ascii="Arial" w:eastAsia="Arial" w:hAnsi="Arial" w:cs="Arial"/>
          <w:sz w:val="24"/>
          <w:szCs w:val="24"/>
        </w:rPr>
      </w:pPr>
      <w:r w:rsidRPr="00843A92">
        <w:rPr>
          <w:rFonts w:ascii="Arial" w:eastAsia="Arial" w:hAnsi="Arial" w:cs="Arial"/>
          <w:sz w:val="24"/>
          <w:szCs w:val="24"/>
        </w:rPr>
        <w:t xml:space="preserve"> Fiduciario: Nacional Financiera S.N.C.</w:t>
      </w:r>
    </w:p>
    <w:p w14:paraId="0D915411" w14:textId="77777777" w:rsidR="00457E53" w:rsidRPr="00843A92" w:rsidRDefault="00457E53" w:rsidP="00457E53">
      <w:pPr>
        <w:spacing w:after="0" w:line="240" w:lineRule="auto"/>
        <w:ind w:firstLine="720"/>
        <w:jc w:val="both"/>
        <w:rPr>
          <w:rFonts w:ascii="Arial" w:eastAsia="Arial" w:hAnsi="Arial" w:cs="Arial"/>
          <w:sz w:val="24"/>
          <w:szCs w:val="24"/>
        </w:rPr>
      </w:pPr>
      <w:r w:rsidRPr="00843A92">
        <w:rPr>
          <w:rFonts w:ascii="Arial" w:eastAsia="Arial" w:hAnsi="Arial" w:cs="Arial"/>
          <w:sz w:val="24"/>
          <w:szCs w:val="24"/>
        </w:rPr>
        <w:t xml:space="preserve"> Contrato No: 237</w:t>
      </w:r>
    </w:p>
    <w:p w14:paraId="1B52C8F9" w14:textId="77777777" w:rsidR="00457E53" w:rsidRPr="00843A92" w:rsidRDefault="00457E53" w:rsidP="00457E53">
      <w:pPr>
        <w:spacing w:after="0" w:line="240" w:lineRule="auto"/>
        <w:ind w:firstLine="720"/>
        <w:jc w:val="both"/>
        <w:rPr>
          <w:rFonts w:ascii="Arial" w:eastAsia="Arial" w:hAnsi="Arial" w:cs="Arial"/>
          <w:sz w:val="24"/>
          <w:szCs w:val="24"/>
        </w:rPr>
      </w:pPr>
      <w:r w:rsidRPr="00843A92">
        <w:rPr>
          <w:rFonts w:ascii="Arial" w:eastAsia="Arial" w:hAnsi="Arial" w:cs="Arial"/>
          <w:sz w:val="24"/>
          <w:szCs w:val="24"/>
        </w:rPr>
        <w:t xml:space="preserve"> Tipo: de Inversión y administración</w:t>
      </w:r>
    </w:p>
    <w:p w14:paraId="51F4C628" w14:textId="77777777" w:rsidR="00457E53" w:rsidRPr="00843A92" w:rsidRDefault="00457E53" w:rsidP="00457E53">
      <w:pPr>
        <w:spacing w:after="0" w:line="240" w:lineRule="auto"/>
        <w:ind w:firstLine="720"/>
        <w:jc w:val="both"/>
        <w:rPr>
          <w:rFonts w:ascii="Arial" w:eastAsia="Arial" w:hAnsi="Arial" w:cs="Arial"/>
          <w:b/>
          <w:sz w:val="24"/>
          <w:szCs w:val="24"/>
        </w:rPr>
      </w:pPr>
      <w:r w:rsidRPr="00843A92">
        <w:rPr>
          <w:rFonts w:ascii="Arial" w:eastAsia="Arial" w:hAnsi="Arial" w:cs="Arial"/>
          <w:sz w:val="24"/>
          <w:szCs w:val="24"/>
        </w:rPr>
        <w:t xml:space="preserve"> Saldo: </w:t>
      </w:r>
      <w:r>
        <w:rPr>
          <w:rFonts w:ascii="Arial" w:eastAsia="Arial" w:hAnsi="Arial" w:cs="Arial"/>
          <w:b/>
          <w:sz w:val="24"/>
          <w:szCs w:val="24"/>
        </w:rPr>
        <w:t>$1</w:t>
      </w:r>
      <w:proofErr w:type="gramStart"/>
      <w:r>
        <w:rPr>
          <w:rFonts w:ascii="Arial" w:eastAsia="Arial" w:hAnsi="Arial" w:cs="Arial"/>
          <w:b/>
          <w:sz w:val="24"/>
          <w:szCs w:val="24"/>
        </w:rPr>
        <w:t>,817,274</w:t>
      </w:r>
      <w:proofErr w:type="gramEnd"/>
    </w:p>
    <w:p w14:paraId="3662D43C" w14:textId="77777777" w:rsidR="00457E53" w:rsidRPr="00843A92" w:rsidRDefault="00457E53" w:rsidP="00457E53">
      <w:pPr>
        <w:spacing w:after="0" w:line="240" w:lineRule="auto"/>
        <w:ind w:firstLine="720"/>
        <w:jc w:val="both"/>
        <w:rPr>
          <w:rFonts w:ascii="Arial" w:eastAsia="Arial" w:hAnsi="Arial" w:cs="Arial"/>
          <w:b/>
          <w:sz w:val="24"/>
          <w:szCs w:val="24"/>
        </w:rPr>
      </w:pPr>
    </w:p>
    <w:p w14:paraId="0874C443" w14:textId="77777777" w:rsidR="00457E53" w:rsidRDefault="00457E53" w:rsidP="00457E53">
      <w:pPr>
        <w:spacing w:after="0" w:line="240" w:lineRule="auto"/>
        <w:jc w:val="both"/>
        <w:rPr>
          <w:rFonts w:ascii="Arial" w:eastAsia="Arial" w:hAnsi="Arial" w:cs="Arial"/>
          <w:sz w:val="24"/>
          <w:szCs w:val="24"/>
        </w:rPr>
      </w:pPr>
      <w:r w:rsidRPr="00843A92">
        <w:rPr>
          <w:rFonts w:ascii="Arial" w:eastAsia="Arial" w:hAnsi="Arial" w:cs="Arial"/>
          <w:sz w:val="24"/>
          <w:szCs w:val="24"/>
        </w:rPr>
        <w:t>Mediante contrato privado de fecha 27 de mayo de 1972 el Gobierno del Estado de Tabasco, representado por su Gobernador Constitucional en su carácter de fideicomitente y Nacional Financiera, S.N.C., I.B.D., en su carácter de fiduciaria, constituyeron un Fideicomiso al cual se denominó inicialmente “Parque Industrial de Villahermosa” (ahora “Fideicomiso de la Ciudad Industrial de Villahermosa”) para efectos de promover el desarrollo industrial de dicha entidad federativa. Actualmente se están realizando los trámites correspondientes que permitan la identificación y asignación de diversos predios propiedad del fideicomiso.</w:t>
      </w:r>
    </w:p>
    <w:p w14:paraId="66FA095E" w14:textId="77777777" w:rsidR="000537F0" w:rsidRDefault="000537F0" w:rsidP="00457E53">
      <w:pPr>
        <w:spacing w:after="0" w:line="240" w:lineRule="auto"/>
        <w:jc w:val="both"/>
        <w:rPr>
          <w:rFonts w:ascii="Arial" w:eastAsia="Arial" w:hAnsi="Arial" w:cs="Arial"/>
          <w:sz w:val="24"/>
          <w:szCs w:val="24"/>
        </w:rPr>
      </w:pPr>
    </w:p>
    <w:p w14:paraId="0299F63E" w14:textId="77777777" w:rsidR="00457E53" w:rsidRDefault="00457E53" w:rsidP="00457E53">
      <w:pPr>
        <w:spacing w:after="0" w:line="240" w:lineRule="auto"/>
        <w:jc w:val="both"/>
        <w:rPr>
          <w:rFonts w:ascii="Arial" w:eastAsia="Arial" w:hAnsi="Arial" w:cs="Arial"/>
          <w:sz w:val="24"/>
          <w:szCs w:val="24"/>
        </w:rPr>
      </w:pPr>
    </w:p>
    <w:p w14:paraId="60A6FF07" w14:textId="77777777" w:rsidR="000537F0" w:rsidRDefault="00411A23" w:rsidP="00FC4DCF">
      <w:pPr>
        <w:pBdr>
          <w:top w:val="nil"/>
          <w:left w:val="nil"/>
          <w:bottom w:val="nil"/>
          <w:right w:val="nil"/>
          <w:between w:val="nil"/>
        </w:pBdr>
        <w:spacing w:after="0" w:line="240" w:lineRule="auto"/>
        <w:ind w:left="426"/>
        <w:jc w:val="both"/>
        <w:rPr>
          <w:rFonts w:ascii="Arial" w:eastAsia="Arial" w:hAnsi="Arial" w:cs="Arial"/>
          <w:sz w:val="24"/>
          <w:szCs w:val="24"/>
        </w:rPr>
      </w:pPr>
      <w:r w:rsidRPr="000537F0">
        <w:rPr>
          <w:rFonts w:ascii="Arial" w:eastAsia="Times New Roman" w:hAnsi="Arial" w:cs="Arial"/>
          <w:b/>
          <w:bCs/>
          <w:color w:val="000000"/>
          <w:sz w:val="24"/>
          <w:szCs w:val="24"/>
          <w:lang w:eastAsia="es-MX"/>
        </w:rPr>
        <w:lastRenderedPageBreak/>
        <w:t xml:space="preserve">18. </w:t>
      </w:r>
      <w:r w:rsidR="00457E53" w:rsidRPr="000537F0">
        <w:rPr>
          <w:rFonts w:ascii="Arial" w:eastAsia="Times New Roman" w:hAnsi="Arial" w:cs="Arial"/>
          <w:b/>
          <w:bCs/>
          <w:color w:val="000000"/>
          <w:sz w:val="24"/>
          <w:szCs w:val="24"/>
          <w:lang w:eastAsia="es-MX"/>
        </w:rPr>
        <w:t>Fideicomiso de Inversión y Administración para el pago de pensiones y jubilaciones destinado a los asegurados</w:t>
      </w:r>
      <w:r w:rsidR="00457E53" w:rsidRPr="000537F0">
        <w:rPr>
          <w:rFonts w:ascii="Arial" w:eastAsia="Arial" w:hAnsi="Arial" w:cs="Arial"/>
          <w:sz w:val="24"/>
          <w:szCs w:val="24"/>
        </w:rPr>
        <w:t xml:space="preserve">  </w:t>
      </w:r>
    </w:p>
    <w:p w14:paraId="678848F7" w14:textId="214FBEF8" w:rsidR="00457E53" w:rsidRPr="000537F0" w:rsidRDefault="000537F0" w:rsidP="000537F0">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w:t>
      </w:r>
      <w:r w:rsidR="00457E53" w:rsidRPr="000537F0">
        <w:rPr>
          <w:rFonts w:ascii="Arial" w:eastAsia="Arial" w:hAnsi="Arial" w:cs="Arial"/>
          <w:sz w:val="24"/>
          <w:szCs w:val="24"/>
        </w:rPr>
        <w:t xml:space="preserve"> </w:t>
      </w:r>
      <w:r>
        <w:rPr>
          <w:rFonts w:ascii="Arial" w:eastAsia="Arial" w:hAnsi="Arial" w:cs="Arial"/>
          <w:sz w:val="24"/>
          <w:szCs w:val="24"/>
        </w:rPr>
        <w:t xml:space="preserve">      </w:t>
      </w:r>
      <w:r w:rsidR="00457E53" w:rsidRPr="000537F0">
        <w:rPr>
          <w:rFonts w:ascii="Arial" w:eastAsia="Arial" w:hAnsi="Arial" w:cs="Arial"/>
          <w:sz w:val="24"/>
          <w:szCs w:val="24"/>
        </w:rPr>
        <w:t>Dependencia o sector:</w:t>
      </w:r>
      <w:r w:rsidR="00457E53" w:rsidRPr="000537F0">
        <w:rPr>
          <w:rFonts w:ascii="Arial" w:eastAsia="Times New Roman" w:hAnsi="Arial" w:cs="Arial"/>
          <w:bCs/>
          <w:color w:val="000000"/>
          <w:sz w:val="24"/>
          <w:szCs w:val="24"/>
          <w:lang w:eastAsia="es-MX"/>
        </w:rPr>
        <w:t xml:space="preserve"> Instituto de Seguridad Social del Estado de Tabasco. FONDO ISSET</w:t>
      </w:r>
    </w:p>
    <w:p w14:paraId="72641E85" w14:textId="4F67DF74" w:rsidR="00457E53" w:rsidRPr="00843A92" w:rsidRDefault="00457E53" w:rsidP="00457E53">
      <w:pPr>
        <w:spacing w:after="0" w:line="240" w:lineRule="auto"/>
        <w:ind w:firstLine="720"/>
        <w:jc w:val="both"/>
        <w:rPr>
          <w:rFonts w:ascii="Arial" w:eastAsia="Arial" w:hAnsi="Arial" w:cs="Arial"/>
          <w:sz w:val="24"/>
          <w:szCs w:val="24"/>
        </w:rPr>
      </w:pPr>
      <w:r w:rsidRPr="00843A92">
        <w:rPr>
          <w:rFonts w:ascii="Arial" w:eastAsia="Arial" w:hAnsi="Arial" w:cs="Arial"/>
          <w:sz w:val="24"/>
          <w:szCs w:val="24"/>
        </w:rPr>
        <w:t xml:space="preserve"> Fiduci</w:t>
      </w:r>
      <w:r w:rsidR="006843D1">
        <w:rPr>
          <w:rFonts w:ascii="Arial" w:eastAsia="Arial" w:hAnsi="Arial" w:cs="Arial"/>
          <w:sz w:val="24"/>
          <w:szCs w:val="24"/>
        </w:rPr>
        <w:t>ario: Santander</w:t>
      </w:r>
    </w:p>
    <w:p w14:paraId="05F3CFA7" w14:textId="5412BE98" w:rsidR="00457E53" w:rsidRPr="00843A92" w:rsidRDefault="006843D1" w:rsidP="00457E53">
      <w:pPr>
        <w:spacing w:after="0" w:line="240" w:lineRule="auto"/>
        <w:ind w:firstLine="720"/>
        <w:jc w:val="both"/>
        <w:rPr>
          <w:rFonts w:ascii="Arial" w:eastAsia="Arial" w:hAnsi="Arial" w:cs="Arial"/>
          <w:sz w:val="24"/>
          <w:szCs w:val="24"/>
        </w:rPr>
      </w:pPr>
      <w:r>
        <w:rPr>
          <w:rFonts w:ascii="Arial" w:eastAsia="Arial" w:hAnsi="Arial" w:cs="Arial"/>
          <w:sz w:val="24"/>
          <w:szCs w:val="24"/>
        </w:rPr>
        <w:t xml:space="preserve"> Contrato No: F/2003538</w:t>
      </w:r>
    </w:p>
    <w:p w14:paraId="7571EC8B" w14:textId="77777777" w:rsidR="00457E53" w:rsidRPr="00843A92" w:rsidRDefault="00457E53" w:rsidP="00457E53">
      <w:pPr>
        <w:spacing w:after="0" w:line="240" w:lineRule="auto"/>
        <w:ind w:firstLine="720"/>
        <w:jc w:val="both"/>
        <w:rPr>
          <w:rFonts w:ascii="Arial" w:eastAsia="Arial" w:hAnsi="Arial" w:cs="Arial"/>
          <w:sz w:val="24"/>
          <w:szCs w:val="24"/>
        </w:rPr>
      </w:pPr>
      <w:r w:rsidRPr="00843A92">
        <w:rPr>
          <w:rFonts w:ascii="Arial" w:eastAsia="Arial" w:hAnsi="Arial" w:cs="Arial"/>
          <w:sz w:val="24"/>
          <w:szCs w:val="24"/>
        </w:rPr>
        <w:t xml:space="preserve"> Tipo: de Inversión y administración</w:t>
      </w:r>
    </w:p>
    <w:p w14:paraId="2E8C7726" w14:textId="77777777" w:rsidR="00457E53" w:rsidRPr="00843A92" w:rsidRDefault="00457E53" w:rsidP="00457E53">
      <w:pPr>
        <w:spacing w:after="0" w:line="240" w:lineRule="auto"/>
        <w:ind w:firstLine="720"/>
        <w:jc w:val="both"/>
        <w:rPr>
          <w:rFonts w:ascii="Arial" w:eastAsia="Arial" w:hAnsi="Arial" w:cs="Arial"/>
          <w:b/>
          <w:sz w:val="24"/>
          <w:szCs w:val="24"/>
        </w:rPr>
      </w:pPr>
      <w:r w:rsidRPr="00843A92">
        <w:rPr>
          <w:rFonts w:ascii="Arial" w:eastAsia="Arial" w:hAnsi="Arial" w:cs="Arial"/>
          <w:sz w:val="24"/>
          <w:szCs w:val="24"/>
        </w:rPr>
        <w:t xml:space="preserve"> Saldo: </w:t>
      </w:r>
      <w:r>
        <w:rPr>
          <w:rFonts w:ascii="Arial" w:eastAsia="Arial" w:hAnsi="Arial" w:cs="Arial"/>
          <w:b/>
          <w:sz w:val="24"/>
          <w:szCs w:val="24"/>
        </w:rPr>
        <w:t>$57</w:t>
      </w:r>
      <w:proofErr w:type="gramStart"/>
      <w:r>
        <w:rPr>
          <w:rFonts w:ascii="Arial" w:eastAsia="Arial" w:hAnsi="Arial" w:cs="Arial"/>
          <w:b/>
          <w:sz w:val="24"/>
          <w:szCs w:val="24"/>
        </w:rPr>
        <w:t>,108,761</w:t>
      </w:r>
      <w:proofErr w:type="gramEnd"/>
    </w:p>
    <w:p w14:paraId="5DC3C0F3" w14:textId="77777777" w:rsidR="00457E53" w:rsidRDefault="00457E53" w:rsidP="00457E53">
      <w:pPr>
        <w:spacing w:after="0" w:line="240" w:lineRule="auto"/>
        <w:jc w:val="both"/>
        <w:rPr>
          <w:rFonts w:ascii="Arial" w:eastAsia="Arial" w:hAnsi="Arial" w:cs="Arial"/>
          <w:sz w:val="24"/>
          <w:szCs w:val="24"/>
        </w:rPr>
      </w:pPr>
      <w:r>
        <w:rPr>
          <w:rFonts w:ascii="Arial" w:eastAsia="Arial" w:hAnsi="Arial" w:cs="Arial"/>
          <w:color w:val="000000"/>
          <w:lang w:eastAsia="es-MX"/>
        </w:rPr>
        <w:t xml:space="preserve">Fideicomiso </w:t>
      </w:r>
      <w:r w:rsidRPr="004A072B">
        <w:rPr>
          <w:rFonts w:ascii="Arial" w:eastAsia="Arial" w:hAnsi="Arial" w:cs="Arial"/>
          <w:color w:val="000000"/>
          <w:lang w:eastAsia="es-MX"/>
        </w:rPr>
        <w:t>creado en el año 2000. Actualmente el patrimonio del Fideicomiso se compone de los rendimientos financieros generados por las aportaciones recibidas durante los ejercicios anteriores.</w:t>
      </w:r>
    </w:p>
    <w:p w14:paraId="39CE0371" w14:textId="77777777" w:rsidR="00457E53" w:rsidRDefault="00457E53" w:rsidP="00457E53">
      <w:pPr>
        <w:spacing w:after="0" w:line="240" w:lineRule="auto"/>
        <w:jc w:val="both"/>
        <w:rPr>
          <w:rFonts w:ascii="Arial" w:eastAsia="Arial" w:hAnsi="Arial" w:cs="Arial"/>
          <w:sz w:val="24"/>
          <w:szCs w:val="24"/>
        </w:rPr>
      </w:pPr>
    </w:p>
    <w:p w14:paraId="2F66E5BC" w14:textId="77777777" w:rsidR="00457E53" w:rsidRDefault="00457E53" w:rsidP="00457E53">
      <w:pPr>
        <w:spacing w:after="0" w:line="240" w:lineRule="auto"/>
        <w:jc w:val="both"/>
        <w:rPr>
          <w:rFonts w:ascii="Arial" w:eastAsia="Arial" w:hAnsi="Arial" w:cs="Arial"/>
          <w:sz w:val="24"/>
          <w:szCs w:val="24"/>
        </w:rPr>
      </w:pPr>
    </w:p>
    <w:p w14:paraId="1153BDFB" w14:textId="1EB7F146" w:rsidR="00457E53" w:rsidRDefault="00457E53" w:rsidP="00724C7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sz w:val="24"/>
          <w:szCs w:val="24"/>
        </w:rPr>
        <w:t xml:space="preserve">  </w:t>
      </w:r>
      <w:r>
        <w:rPr>
          <w:rFonts w:ascii="Arial" w:eastAsia="Arial" w:hAnsi="Arial" w:cs="Arial"/>
          <w:b/>
          <w:color w:val="000000"/>
          <w:sz w:val="24"/>
          <w:szCs w:val="24"/>
        </w:rPr>
        <w:t>Fideicomiso Rescate Urbano de la Zona Sur-Poniente del Centro Histórico  de la Ciudad de Villahermosa.</w:t>
      </w:r>
    </w:p>
    <w:p w14:paraId="54ABFA08" w14:textId="77777777" w:rsidR="00457E53" w:rsidRDefault="00457E53" w:rsidP="00457E53">
      <w:pPr>
        <w:spacing w:after="0" w:line="240" w:lineRule="auto"/>
        <w:ind w:left="709"/>
        <w:jc w:val="both"/>
        <w:rPr>
          <w:rFonts w:ascii="Arial" w:eastAsia="Arial" w:hAnsi="Arial" w:cs="Arial"/>
          <w:sz w:val="24"/>
          <w:szCs w:val="24"/>
        </w:rPr>
      </w:pPr>
      <w:r>
        <w:rPr>
          <w:rFonts w:ascii="Arial" w:eastAsia="Arial" w:hAnsi="Arial" w:cs="Arial"/>
          <w:sz w:val="24"/>
          <w:szCs w:val="24"/>
        </w:rPr>
        <w:t xml:space="preserve">  Dependencia o sector: Secretaría de Finanzas</w:t>
      </w:r>
    </w:p>
    <w:p w14:paraId="64A3F96B" w14:textId="77777777" w:rsidR="00457E53" w:rsidRDefault="00457E53" w:rsidP="00457E53">
      <w:pPr>
        <w:spacing w:after="0" w:line="240" w:lineRule="auto"/>
        <w:ind w:left="709"/>
        <w:jc w:val="both"/>
        <w:rPr>
          <w:rFonts w:ascii="Arial" w:eastAsia="Arial" w:hAnsi="Arial" w:cs="Arial"/>
          <w:sz w:val="24"/>
          <w:szCs w:val="24"/>
        </w:rPr>
      </w:pPr>
      <w:r>
        <w:rPr>
          <w:rFonts w:ascii="Arial" w:eastAsia="Arial" w:hAnsi="Arial" w:cs="Arial"/>
          <w:sz w:val="24"/>
          <w:szCs w:val="24"/>
        </w:rPr>
        <w:t xml:space="preserve">  Fiduciario: Grupo Financiero Banorte</w:t>
      </w:r>
    </w:p>
    <w:p w14:paraId="01A46906" w14:textId="77777777" w:rsidR="00457E53" w:rsidRDefault="00457E53" w:rsidP="00457E53">
      <w:pPr>
        <w:spacing w:after="0" w:line="240" w:lineRule="auto"/>
        <w:ind w:left="709"/>
        <w:jc w:val="both"/>
        <w:rPr>
          <w:rFonts w:ascii="Arial" w:eastAsia="Arial" w:hAnsi="Arial" w:cs="Arial"/>
          <w:sz w:val="24"/>
          <w:szCs w:val="24"/>
        </w:rPr>
      </w:pPr>
      <w:r>
        <w:rPr>
          <w:rFonts w:ascii="Arial" w:eastAsia="Arial" w:hAnsi="Arial" w:cs="Arial"/>
          <w:sz w:val="24"/>
          <w:szCs w:val="24"/>
        </w:rPr>
        <w:t xml:space="preserve">  Contrato No: 737467</w:t>
      </w:r>
    </w:p>
    <w:p w14:paraId="1B5DB4EB" w14:textId="77777777" w:rsidR="00457E53" w:rsidRDefault="00457E53" w:rsidP="00457E53">
      <w:pPr>
        <w:spacing w:after="0" w:line="240" w:lineRule="auto"/>
        <w:ind w:left="709"/>
        <w:jc w:val="both"/>
        <w:rPr>
          <w:rFonts w:ascii="Arial" w:eastAsia="Arial" w:hAnsi="Arial" w:cs="Arial"/>
          <w:sz w:val="24"/>
          <w:szCs w:val="24"/>
        </w:rPr>
      </w:pPr>
      <w:r>
        <w:rPr>
          <w:rFonts w:ascii="Arial" w:eastAsia="Arial" w:hAnsi="Arial" w:cs="Arial"/>
          <w:sz w:val="24"/>
          <w:szCs w:val="24"/>
        </w:rPr>
        <w:t xml:space="preserve">  Tipo de fideicomiso: Inversión, administración y fuente de pago</w:t>
      </w:r>
    </w:p>
    <w:p w14:paraId="74F25584" w14:textId="7CB8C66A" w:rsidR="00457E53" w:rsidRDefault="00457E53" w:rsidP="00457E53">
      <w:pPr>
        <w:spacing w:after="0" w:line="240" w:lineRule="auto"/>
        <w:ind w:left="709"/>
        <w:jc w:val="both"/>
        <w:rPr>
          <w:rFonts w:ascii="Arial" w:eastAsia="Arial" w:hAnsi="Arial" w:cs="Arial"/>
          <w:sz w:val="24"/>
          <w:szCs w:val="24"/>
        </w:rPr>
      </w:pPr>
      <w:r>
        <w:rPr>
          <w:rFonts w:ascii="Arial" w:eastAsia="Arial" w:hAnsi="Arial" w:cs="Arial"/>
          <w:sz w:val="24"/>
          <w:szCs w:val="24"/>
        </w:rPr>
        <w:t xml:space="preserve">  Saldo: </w:t>
      </w:r>
      <w:r w:rsidR="00955B7F">
        <w:rPr>
          <w:rFonts w:ascii="Arial" w:eastAsia="Arial" w:hAnsi="Arial" w:cs="Arial"/>
          <w:b/>
          <w:sz w:val="24"/>
          <w:szCs w:val="24"/>
        </w:rPr>
        <w:t>$0</w:t>
      </w:r>
    </w:p>
    <w:p w14:paraId="0FC78C80" w14:textId="77777777" w:rsidR="00457E53" w:rsidRDefault="00457E53" w:rsidP="00457E53">
      <w:pPr>
        <w:spacing w:after="0" w:line="240" w:lineRule="auto"/>
        <w:jc w:val="both"/>
        <w:rPr>
          <w:rFonts w:ascii="Arial" w:eastAsia="Arial" w:hAnsi="Arial" w:cs="Arial"/>
          <w:sz w:val="24"/>
          <w:szCs w:val="24"/>
        </w:rPr>
      </w:pPr>
    </w:p>
    <w:p w14:paraId="7565B6C8" w14:textId="77777777" w:rsidR="00457E53" w:rsidRDefault="00457E53" w:rsidP="00457E53">
      <w:pPr>
        <w:spacing w:after="0" w:line="240" w:lineRule="auto"/>
        <w:jc w:val="both"/>
        <w:rPr>
          <w:rFonts w:ascii="Arial" w:eastAsia="Arial" w:hAnsi="Arial" w:cs="Arial"/>
          <w:sz w:val="24"/>
          <w:szCs w:val="24"/>
        </w:rPr>
      </w:pPr>
      <w:r>
        <w:rPr>
          <w:rFonts w:ascii="Arial" w:eastAsia="Arial" w:hAnsi="Arial" w:cs="Arial"/>
          <w:sz w:val="24"/>
          <w:szCs w:val="24"/>
        </w:rPr>
        <w:t xml:space="preserve">El 2 de agosto de 2005 fue creado este fideicomiso, durante el 2017 Durante el presente trimestre se iniciaron los trámites para su respectiva extinción, por lo que el pasado 24 de septiembre, las partes correspondientes suscribieron el Convenio de Extinción Total del </w:t>
      </w:r>
      <w:proofErr w:type="spellStart"/>
      <w:r>
        <w:rPr>
          <w:rFonts w:ascii="Arial" w:eastAsia="Arial" w:hAnsi="Arial" w:cs="Arial"/>
          <w:sz w:val="24"/>
          <w:szCs w:val="24"/>
        </w:rPr>
        <w:t>Fideicomiso.Por</w:t>
      </w:r>
      <w:proofErr w:type="spellEnd"/>
      <w:r>
        <w:rPr>
          <w:rFonts w:ascii="Arial" w:eastAsia="Arial" w:hAnsi="Arial" w:cs="Arial"/>
          <w:sz w:val="24"/>
          <w:szCs w:val="24"/>
        </w:rPr>
        <w:t xml:space="preserve"> lo anterior, el día 28 de octubre de 2021, la Institución Fiduciaria realizó el reintegro del patrimonio del Fideicomiso al Gobierno del Estado, por la cantidad de $44,729.11 (Cuarenta y cuatro mil setecientos veintinueve pesos 11/100 M.N).</w:t>
      </w:r>
    </w:p>
    <w:p w14:paraId="5A21FDE8" w14:textId="77777777" w:rsidR="00457E53" w:rsidRDefault="00457E53" w:rsidP="00457E53">
      <w:pPr>
        <w:rPr>
          <w:rFonts w:ascii="Arial" w:eastAsia="Arial" w:hAnsi="Arial" w:cs="Arial"/>
          <w:sz w:val="24"/>
          <w:szCs w:val="24"/>
        </w:rPr>
      </w:pPr>
    </w:p>
    <w:p w14:paraId="651692CF" w14:textId="22B2A9CD" w:rsidR="00457E53" w:rsidRDefault="00457E53" w:rsidP="00724C78">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 Fideicomiso para el Apoyo Empresarial de Tabasco. FIDETAB</w:t>
      </w:r>
    </w:p>
    <w:p w14:paraId="2E0AEDC3" w14:textId="77777777" w:rsidR="00457E53" w:rsidRDefault="00457E53" w:rsidP="00457E53">
      <w:pPr>
        <w:spacing w:after="0" w:line="240" w:lineRule="auto"/>
        <w:ind w:left="851"/>
        <w:jc w:val="both"/>
        <w:rPr>
          <w:rFonts w:ascii="Arial" w:eastAsia="Arial" w:hAnsi="Arial" w:cs="Arial"/>
          <w:sz w:val="24"/>
          <w:szCs w:val="24"/>
        </w:rPr>
      </w:pPr>
      <w:r>
        <w:rPr>
          <w:rFonts w:ascii="Arial" w:eastAsia="Arial" w:hAnsi="Arial" w:cs="Arial"/>
          <w:sz w:val="24"/>
          <w:szCs w:val="24"/>
        </w:rPr>
        <w:t>Dependencia o sector: Secretaría para el Desarrollo Económico y la Competitividad</w:t>
      </w:r>
    </w:p>
    <w:p w14:paraId="74500E27" w14:textId="77777777" w:rsidR="00457E53" w:rsidRDefault="00457E53" w:rsidP="00457E53">
      <w:pPr>
        <w:spacing w:after="0" w:line="240" w:lineRule="auto"/>
        <w:ind w:left="143" w:firstLine="708"/>
        <w:jc w:val="both"/>
        <w:rPr>
          <w:rFonts w:ascii="Arial" w:eastAsia="Arial" w:hAnsi="Arial" w:cs="Arial"/>
          <w:sz w:val="24"/>
          <w:szCs w:val="24"/>
        </w:rPr>
      </w:pPr>
      <w:r>
        <w:rPr>
          <w:rFonts w:ascii="Arial" w:eastAsia="Arial" w:hAnsi="Arial" w:cs="Arial"/>
          <w:sz w:val="24"/>
          <w:szCs w:val="24"/>
        </w:rPr>
        <w:t>Fiduciario: HSBC</w:t>
      </w:r>
    </w:p>
    <w:p w14:paraId="3E3BF6D6" w14:textId="77777777" w:rsidR="00457E53" w:rsidRDefault="00457E53" w:rsidP="00457E53">
      <w:pPr>
        <w:spacing w:after="0" w:line="240" w:lineRule="auto"/>
        <w:ind w:left="143" w:firstLine="708"/>
        <w:jc w:val="both"/>
        <w:rPr>
          <w:rFonts w:ascii="Arial" w:eastAsia="Arial" w:hAnsi="Arial" w:cs="Arial"/>
          <w:sz w:val="24"/>
          <w:szCs w:val="24"/>
        </w:rPr>
      </w:pPr>
      <w:r>
        <w:rPr>
          <w:rFonts w:ascii="Arial" w:eastAsia="Arial" w:hAnsi="Arial" w:cs="Arial"/>
          <w:sz w:val="24"/>
          <w:szCs w:val="24"/>
        </w:rPr>
        <w:t>Contrato No: 150738</w:t>
      </w:r>
    </w:p>
    <w:p w14:paraId="1D795592" w14:textId="77777777" w:rsidR="00457E53" w:rsidRDefault="00457E53" w:rsidP="00457E53">
      <w:pPr>
        <w:spacing w:after="0" w:line="240" w:lineRule="auto"/>
        <w:ind w:firstLine="708"/>
        <w:jc w:val="both"/>
        <w:rPr>
          <w:rFonts w:ascii="Arial" w:eastAsia="Arial" w:hAnsi="Arial" w:cs="Arial"/>
          <w:sz w:val="24"/>
          <w:szCs w:val="24"/>
        </w:rPr>
      </w:pPr>
      <w:r>
        <w:rPr>
          <w:rFonts w:ascii="Arial" w:eastAsia="Arial" w:hAnsi="Arial" w:cs="Arial"/>
          <w:sz w:val="24"/>
          <w:szCs w:val="24"/>
        </w:rPr>
        <w:t xml:space="preserve">  Tipo de fideicomiso: Inversión y garantía complementaria</w:t>
      </w:r>
    </w:p>
    <w:p w14:paraId="52D4961C" w14:textId="38A5A02E" w:rsidR="00457E53" w:rsidRDefault="00457E53" w:rsidP="000537F0">
      <w:pPr>
        <w:jc w:val="left"/>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sz w:val="24"/>
          <w:szCs w:val="24"/>
        </w:rPr>
        <w:tab/>
        <w:t xml:space="preserve">  Saldo: </w:t>
      </w:r>
      <w:r w:rsidR="00955B7F">
        <w:rPr>
          <w:rFonts w:ascii="Arial" w:eastAsia="Arial" w:hAnsi="Arial" w:cs="Arial"/>
          <w:b/>
          <w:sz w:val="24"/>
          <w:szCs w:val="24"/>
        </w:rPr>
        <w:t>$0</w:t>
      </w:r>
    </w:p>
    <w:p w14:paraId="408F825E" w14:textId="77777777" w:rsidR="00457E53" w:rsidRDefault="00457E53" w:rsidP="00457E53">
      <w:pPr>
        <w:spacing w:after="0" w:line="240" w:lineRule="auto"/>
        <w:jc w:val="both"/>
        <w:rPr>
          <w:rFonts w:ascii="Arial" w:eastAsia="Arial" w:hAnsi="Arial" w:cs="Arial"/>
          <w:sz w:val="24"/>
          <w:szCs w:val="24"/>
        </w:rPr>
      </w:pPr>
    </w:p>
    <w:p w14:paraId="5C8933F4" w14:textId="08D27771" w:rsidR="00457E53" w:rsidRDefault="00457E53" w:rsidP="00457E53">
      <w:pPr>
        <w:spacing w:after="0" w:line="240" w:lineRule="auto"/>
        <w:jc w:val="both"/>
        <w:rPr>
          <w:rFonts w:ascii="Arial" w:eastAsia="Arial" w:hAnsi="Arial" w:cs="Arial"/>
          <w:sz w:val="24"/>
          <w:szCs w:val="24"/>
        </w:rPr>
      </w:pPr>
      <w:r>
        <w:rPr>
          <w:rFonts w:ascii="Arial" w:eastAsia="Arial" w:hAnsi="Arial" w:cs="Arial"/>
          <w:sz w:val="24"/>
          <w:szCs w:val="24"/>
        </w:rPr>
        <w:t xml:space="preserve">Debido a la urgente necesidad de rehabilitar la infraestructura dañada por los fenómenos meteorológicos del mes de septiembre de 1999, así como de apoyar a los diversos sectores productivos afectados; el Gobierno del Estado de Tabasco, resolvió crear el presente Fideicomiso, mediante contrato suscrito el 28 de marzo de 2000. El 20 de septiembre del 2021, se suscribió el Convenio de Extinción del Contrato del Fideicomiso, sin embargo fue hasta el </w:t>
      </w:r>
      <w:proofErr w:type="spellStart"/>
      <w:r>
        <w:rPr>
          <w:rFonts w:ascii="Arial" w:eastAsia="Arial" w:hAnsi="Arial" w:cs="Arial"/>
          <w:sz w:val="24"/>
          <w:szCs w:val="24"/>
        </w:rPr>
        <w:t>dia</w:t>
      </w:r>
      <w:proofErr w:type="spellEnd"/>
      <w:r>
        <w:rPr>
          <w:rFonts w:ascii="Arial" w:eastAsia="Arial" w:hAnsi="Arial" w:cs="Arial"/>
          <w:sz w:val="24"/>
          <w:szCs w:val="24"/>
        </w:rPr>
        <w:t xml:space="preserve"> 05 de octubre </w:t>
      </w:r>
      <w:r>
        <w:rPr>
          <w:rFonts w:ascii="Arial" w:eastAsia="Arial" w:hAnsi="Arial" w:cs="Arial"/>
          <w:sz w:val="24"/>
          <w:szCs w:val="24"/>
        </w:rPr>
        <w:lastRenderedPageBreak/>
        <w:t>del 2021, que la Fiduciaria reintegró el saldo del patrimonio correspondiente al Gobierno del Estado de Tabasco, por la cantidad de $16,169,719.89 (</w:t>
      </w:r>
      <w:proofErr w:type="spellStart"/>
      <w:r>
        <w:rPr>
          <w:rFonts w:ascii="Arial" w:eastAsia="Arial" w:hAnsi="Arial" w:cs="Arial"/>
          <w:sz w:val="24"/>
          <w:szCs w:val="24"/>
        </w:rPr>
        <w:t>Dieciseis</w:t>
      </w:r>
      <w:proofErr w:type="spellEnd"/>
      <w:r>
        <w:rPr>
          <w:rFonts w:ascii="Arial" w:eastAsia="Arial" w:hAnsi="Arial" w:cs="Arial"/>
          <w:sz w:val="24"/>
          <w:szCs w:val="24"/>
        </w:rPr>
        <w:t xml:space="preserve"> millones ciento sesenta y nueve mil setecientos diecinueve pesos 89/100 M.N).</w:t>
      </w:r>
    </w:p>
    <w:p w14:paraId="4ACC8333" w14:textId="77777777" w:rsidR="00A51199" w:rsidRDefault="00A51199" w:rsidP="00457E53">
      <w:pPr>
        <w:spacing w:after="0" w:line="240" w:lineRule="auto"/>
        <w:jc w:val="both"/>
        <w:rPr>
          <w:rFonts w:ascii="Arial" w:eastAsia="Arial" w:hAnsi="Arial" w:cs="Arial"/>
          <w:sz w:val="24"/>
          <w:szCs w:val="24"/>
        </w:rPr>
      </w:pPr>
    </w:p>
    <w:p w14:paraId="1F6FA265" w14:textId="77777777" w:rsidR="00457E53" w:rsidRDefault="00457E53" w:rsidP="00BB5BC5">
      <w:pPr>
        <w:spacing w:after="0" w:line="240" w:lineRule="auto"/>
        <w:jc w:val="both"/>
        <w:rPr>
          <w:rFonts w:ascii="Arial" w:eastAsia="Arial" w:hAnsi="Arial" w:cs="Arial"/>
        </w:rPr>
      </w:pPr>
    </w:p>
    <w:p w14:paraId="7A0B290A" w14:textId="4E48D83D" w:rsidR="005A7A13" w:rsidRPr="00CA34F5" w:rsidRDefault="00C618E2" w:rsidP="000A4C31">
      <w:pPr>
        <w:numPr>
          <w:ilvl w:val="0"/>
          <w:numId w:val="12"/>
        </w:numPr>
        <w:spacing w:after="0" w:line="240" w:lineRule="auto"/>
        <w:ind w:left="284"/>
        <w:contextualSpacing/>
        <w:jc w:val="both"/>
        <w:rPr>
          <w:rFonts w:ascii="Arial" w:hAnsi="Arial" w:cs="Arial"/>
          <w:b/>
        </w:rPr>
      </w:pPr>
      <w:bookmarkStart w:id="8" w:name="_heading=h.30j0zll" w:colFirst="0" w:colLast="0"/>
      <w:bookmarkEnd w:id="8"/>
      <w:r w:rsidRPr="00CA34F5">
        <w:rPr>
          <w:rFonts w:ascii="Arial" w:hAnsi="Arial" w:cs="Arial"/>
          <w:b/>
        </w:rPr>
        <w:t>R</w:t>
      </w:r>
      <w:r w:rsidR="005A7A13" w:rsidRPr="00CA34F5">
        <w:rPr>
          <w:rFonts w:ascii="Arial" w:hAnsi="Arial" w:cs="Arial"/>
          <w:b/>
        </w:rPr>
        <w:t>eporte de la Recaudación</w:t>
      </w:r>
      <w:r w:rsidR="001310BD" w:rsidRPr="00CA34F5">
        <w:rPr>
          <w:rFonts w:ascii="Arial" w:hAnsi="Arial" w:cs="Arial"/>
          <w:b/>
        </w:rPr>
        <w:t xml:space="preserve">  </w:t>
      </w:r>
    </w:p>
    <w:p w14:paraId="72AF523D" w14:textId="77777777" w:rsidR="0079749B" w:rsidRPr="00CA34F5" w:rsidRDefault="0079749B" w:rsidP="0079749B">
      <w:pPr>
        <w:spacing w:after="0" w:line="240" w:lineRule="auto"/>
        <w:contextualSpacing/>
        <w:jc w:val="both"/>
        <w:rPr>
          <w:rFonts w:ascii="Arial" w:hAnsi="Arial" w:cs="Arial"/>
          <w:b/>
        </w:rPr>
      </w:pPr>
    </w:p>
    <w:p w14:paraId="3FDADB24" w14:textId="26B11640" w:rsidR="00D1261E" w:rsidRPr="00CA34F5" w:rsidRDefault="00642F01" w:rsidP="000A4C31">
      <w:pPr>
        <w:spacing w:after="0" w:line="240" w:lineRule="auto"/>
        <w:contextualSpacing/>
        <w:jc w:val="both"/>
        <w:rPr>
          <w:rFonts w:ascii="Arial" w:hAnsi="Arial" w:cs="Arial"/>
          <w:b/>
        </w:rPr>
      </w:pPr>
      <w:r w:rsidRPr="00CA34F5">
        <w:rPr>
          <w:rFonts w:ascii="Arial" w:hAnsi="Arial" w:cs="Arial"/>
        </w:rPr>
        <w:t xml:space="preserve"> </w:t>
      </w:r>
    </w:p>
    <w:tbl>
      <w:tblPr>
        <w:tblW w:w="6662" w:type="dxa"/>
        <w:jc w:val="center"/>
        <w:tblCellMar>
          <w:left w:w="70" w:type="dxa"/>
          <w:right w:w="70" w:type="dxa"/>
        </w:tblCellMar>
        <w:tblLook w:val="04A0" w:firstRow="1" w:lastRow="0" w:firstColumn="1" w:lastColumn="0" w:noHBand="0" w:noVBand="1"/>
      </w:tblPr>
      <w:tblGrid>
        <w:gridCol w:w="3751"/>
        <w:gridCol w:w="2911"/>
      </w:tblGrid>
      <w:tr w:rsidR="006E7BE1" w:rsidRPr="00CA34F5" w14:paraId="31714DC6" w14:textId="77777777" w:rsidTr="000A4C31">
        <w:trPr>
          <w:trHeight w:val="312"/>
          <w:jc w:val="center"/>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4AB4C" w14:textId="77777777" w:rsidR="006E7BE1" w:rsidRPr="00CA34F5" w:rsidRDefault="006E7BE1"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Recaudación Estatal</w:t>
            </w:r>
          </w:p>
        </w:tc>
        <w:tc>
          <w:tcPr>
            <w:tcW w:w="2911" w:type="dxa"/>
            <w:tcBorders>
              <w:top w:val="single" w:sz="4" w:space="0" w:color="auto"/>
              <w:left w:val="nil"/>
              <w:bottom w:val="single" w:sz="4" w:space="0" w:color="auto"/>
              <w:right w:val="single" w:sz="4" w:space="0" w:color="auto"/>
            </w:tcBorders>
            <w:shd w:val="clear" w:color="auto" w:fill="auto"/>
            <w:noWrap/>
            <w:vAlign w:val="bottom"/>
          </w:tcPr>
          <w:p w14:paraId="198C2B99" w14:textId="5C79DF29" w:rsidR="006E7BE1" w:rsidRPr="00CA34F5" w:rsidRDefault="00642F01" w:rsidP="000A4C31">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3,959,724,578</w:t>
            </w:r>
          </w:p>
        </w:tc>
      </w:tr>
      <w:tr w:rsidR="006E7BE1" w:rsidRPr="00CA34F5" w14:paraId="61CA856E" w14:textId="77777777" w:rsidTr="000A4C31">
        <w:trPr>
          <w:trHeight w:val="434"/>
          <w:jc w:val="center"/>
        </w:trPr>
        <w:tc>
          <w:tcPr>
            <w:tcW w:w="3751" w:type="dxa"/>
            <w:tcBorders>
              <w:top w:val="nil"/>
              <w:left w:val="single" w:sz="4" w:space="0" w:color="auto"/>
              <w:bottom w:val="single" w:sz="4" w:space="0" w:color="auto"/>
              <w:right w:val="single" w:sz="4" w:space="0" w:color="auto"/>
            </w:tcBorders>
            <w:shd w:val="clear" w:color="auto" w:fill="auto"/>
            <w:noWrap/>
            <w:vAlign w:val="center"/>
            <w:hideMark/>
          </w:tcPr>
          <w:p w14:paraId="62C17075" w14:textId="77777777" w:rsidR="006E7BE1" w:rsidRPr="00CA34F5" w:rsidRDefault="006E7BE1" w:rsidP="000A4C31">
            <w:pPr>
              <w:spacing w:after="0" w:line="240" w:lineRule="auto"/>
              <w:jc w:val="both"/>
              <w:rPr>
                <w:rFonts w:ascii="Arial" w:eastAsia="Times New Roman" w:hAnsi="Arial" w:cs="Arial"/>
                <w:color w:val="000000"/>
                <w:lang w:eastAsia="es-MX"/>
              </w:rPr>
            </w:pPr>
            <w:r w:rsidRPr="00CA34F5">
              <w:rPr>
                <w:rFonts w:ascii="Arial" w:eastAsia="Times New Roman" w:hAnsi="Arial" w:cs="Arial"/>
                <w:color w:val="000000"/>
                <w:lang w:eastAsia="es-MX"/>
              </w:rPr>
              <w:t>Recaudación Federal</w:t>
            </w:r>
          </w:p>
        </w:tc>
        <w:tc>
          <w:tcPr>
            <w:tcW w:w="2911" w:type="dxa"/>
            <w:tcBorders>
              <w:top w:val="nil"/>
              <w:left w:val="nil"/>
              <w:bottom w:val="single" w:sz="4" w:space="0" w:color="auto"/>
              <w:right w:val="single" w:sz="4" w:space="0" w:color="auto"/>
            </w:tcBorders>
            <w:shd w:val="clear" w:color="auto" w:fill="auto"/>
            <w:noWrap/>
            <w:vAlign w:val="bottom"/>
          </w:tcPr>
          <w:p w14:paraId="320415F1" w14:textId="2C285A7E" w:rsidR="006E7BE1" w:rsidRPr="00CA34F5" w:rsidRDefault="00642F01" w:rsidP="000A4C31">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53,383,096,</w:t>
            </w:r>
            <w:r w:rsidR="00474CF8" w:rsidRPr="00CA34F5">
              <w:rPr>
                <w:rFonts w:ascii="Arial" w:eastAsia="Times New Roman" w:hAnsi="Arial" w:cs="Arial"/>
                <w:color w:val="000000"/>
                <w:lang w:eastAsia="es-MX"/>
              </w:rPr>
              <w:t>9</w:t>
            </w:r>
            <w:r w:rsidRPr="00CA34F5">
              <w:rPr>
                <w:rFonts w:ascii="Arial" w:eastAsia="Times New Roman" w:hAnsi="Arial" w:cs="Arial"/>
                <w:color w:val="000000"/>
                <w:lang w:eastAsia="es-MX"/>
              </w:rPr>
              <w:t>5</w:t>
            </w:r>
            <w:r w:rsidR="00474CF8" w:rsidRPr="00CA34F5">
              <w:rPr>
                <w:rFonts w:ascii="Arial" w:eastAsia="Times New Roman" w:hAnsi="Arial" w:cs="Arial"/>
                <w:color w:val="000000"/>
                <w:lang w:eastAsia="es-MX"/>
              </w:rPr>
              <w:t>6</w:t>
            </w:r>
          </w:p>
        </w:tc>
      </w:tr>
      <w:tr w:rsidR="006E7BE1" w:rsidRPr="00CA34F5" w14:paraId="0E311242" w14:textId="77777777" w:rsidTr="000A4C31">
        <w:trPr>
          <w:trHeight w:val="312"/>
          <w:jc w:val="center"/>
        </w:trPr>
        <w:tc>
          <w:tcPr>
            <w:tcW w:w="3751" w:type="dxa"/>
            <w:tcBorders>
              <w:top w:val="nil"/>
              <w:left w:val="single" w:sz="4" w:space="0" w:color="auto"/>
              <w:bottom w:val="single" w:sz="4" w:space="0" w:color="auto"/>
              <w:right w:val="single" w:sz="4" w:space="0" w:color="auto"/>
            </w:tcBorders>
            <w:shd w:val="clear" w:color="auto" w:fill="auto"/>
            <w:noWrap/>
            <w:vAlign w:val="center"/>
            <w:hideMark/>
          </w:tcPr>
          <w:p w14:paraId="316DC6B8" w14:textId="77777777" w:rsidR="006E7BE1" w:rsidRPr="00CA34F5" w:rsidRDefault="006E7BE1" w:rsidP="000A4C31">
            <w:pPr>
              <w:spacing w:after="0" w:line="240" w:lineRule="auto"/>
              <w:jc w:val="both"/>
              <w:rPr>
                <w:rFonts w:ascii="Arial" w:eastAsia="Times New Roman" w:hAnsi="Arial" w:cs="Arial"/>
                <w:b/>
                <w:bCs/>
                <w:color w:val="000000"/>
                <w:lang w:eastAsia="es-MX"/>
              </w:rPr>
            </w:pPr>
            <w:r w:rsidRPr="00CA34F5">
              <w:rPr>
                <w:rFonts w:ascii="Arial" w:eastAsia="Times New Roman" w:hAnsi="Arial" w:cs="Arial"/>
                <w:b/>
                <w:bCs/>
                <w:color w:val="000000"/>
                <w:lang w:eastAsia="es-MX"/>
              </w:rPr>
              <w:t>Recaudación Total</w:t>
            </w:r>
          </w:p>
        </w:tc>
        <w:tc>
          <w:tcPr>
            <w:tcW w:w="2911" w:type="dxa"/>
            <w:tcBorders>
              <w:top w:val="nil"/>
              <w:left w:val="nil"/>
              <w:bottom w:val="single" w:sz="4" w:space="0" w:color="auto"/>
              <w:right w:val="single" w:sz="4" w:space="0" w:color="auto"/>
            </w:tcBorders>
            <w:shd w:val="clear" w:color="auto" w:fill="auto"/>
            <w:noWrap/>
            <w:vAlign w:val="bottom"/>
          </w:tcPr>
          <w:p w14:paraId="5B6D610D" w14:textId="4091908E" w:rsidR="006E7BE1" w:rsidRPr="00CA34F5" w:rsidRDefault="00642F01" w:rsidP="000A4C31">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57,342,821,534</w:t>
            </w:r>
          </w:p>
        </w:tc>
      </w:tr>
    </w:tbl>
    <w:p w14:paraId="0782BB37" w14:textId="77777777" w:rsidR="004E437B" w:rsidRPr="00CA34F5" w:rsidRDefault="004E437B" w:rsidP="000A4C31">
      <w:pPr>
        <w:spacing w:after="0" w:line="240" w:lineRule="auto"/>
        <w:contextualSpacing/>
        <w:jc w:val="both"/>
        <w:rPr>
          <w:rFonts w:ascii="Arial" w:hAnsi="Arial" w:cs="Arial"/>
          <w:b/>
        </w:rPr>
      </w:pPr>
    </w:p>
    <w:p w14:paraId="358F1B30" w14:textId="77777777" w:rsidR="00A51199" w:rsidRPr="00CA34F5" w:rsidRDefault="00A51199" w:rsidP="000A4C31">
      <w:pPr>
        <w:spacing w:after="0" w:line="240" w:lineRule="auto"/>
        <w:contextualSpacing/>
        <w:jc w:val="both"/>
        <w:rPr>
          <w:rFonts w:ascii="Arial" w:hAnsi="Arial" w:cs="Arial"/>
          <w:b/>
        </w:rPr>
      </w:pPr>
    </w:p>
    <w:p w14:paraId="34AAE245" w14:textId="6D1299AC" w:rsidR="003C46E3" w:rsidRPr="00CA34F5" w:rsidRDefault="00324EA3" w:rsidP="002872BC">
      <w:pPr>
        <w:numPr>
          <w:ilvl w:val="0"/>
          <w:numId w:val="12"/>
        </w:numPr>
        <w:spacing w:after="0" w:line="240" w:lineRule="auto"/>
        <w:ind w:left="284"/>
        <w:contextualSpacing/>
        <w:jc w:val="both"/>
        <w:rPr>
          <w:rFonts w:ascii="Arial" w:hAnsi="Arial" w:cs="Arial"/>
          <w:b/>
        </w:rPr>
      </w:pPr>
      <w:r w:rsidRPr="00CA34F5">
        <w:rPr>
          <w:rFonts w:ascii="Arial" w:hAnsi="Arial" w:cs="Arial"/>
          <w:b/>
        </w:rPr>
        <w:t>Información sobre la Deuda y el Reporte Analítico de la Deuda</w:t>
      </w:r>
    </w:p>
    <w:p w14:paraId="1AB74E5B" w14:textId="77777777" w:rsidR="003C46E3" w:rsidRPr="00CA34F5" w:rsidRDefault="003C46E3" w:rsidP="000A4C31">
      <w:pPr>
        <w:spacing w:after="0" w:line="240" w:lineRule="auto"/>
        <w:contextualSpacing/>
        <w:rPr>
          <w:rFonts w:ascii="Arial" w:hAnsi="Arial" w:cs="Arial"/>
          <w:b/>
        </w:rPr>
      </w:pPr>
    </w:p>
    <w:p w14:paraId="25ABA549" w14:textId="6ECAD5DF" w:rsidR="00DF5516" w:rsidRPr="00CA34F5" w:rsidRDefault="00DF5516" w:rsidP="000A4C31">
      <w:pPr>
        <w:spacing w:after="0" w:line="240" w:lineRule="auto"/>
        <w:contextualSpacing/>
        <w:rPr>
          <w:rFonts w:ascii="Arial" w:hAnsi="Arial" w:cs="Arial"/>
          <w:b/>
        </w:rPr>
      </w:pPr>
      <w:r w:rsidRPr="00CA34F5">
        <w:rPr>
          <w:rFonts w:ascii="Arial" w:hAnsi="Arial" w:cs="Arial"/>
          <w:b/>
        </w:rPr>
        <w:t>Deuda Pública del Gobierno del Estado de Tabasco</w:t>
      </w:r>
    </w:p>
    <w:p w14:paraId="26FF09BB" w14:textId="4E12C213" w:rsidR="0091527D" w:rsidRPr="00CA34F5" w:rsidRDefault="00DF5516" w:rsidP="00A51199">
      <w:pPr>
        <w:spacing w:after="0" w:line="240" w:lineRule="auto"/>
        <w:contextualSpacing/>
        <w:rPr>
          <w:rFonts w:ascii="Arial" w:hAnsi="Arial" w:cs="Arial"/>
          <w:b/>
        </w:rPr>
      </w:pPr>
      <w:r w:rsidRPr="00CA34F5">
        <w:rPr>
          <w:rFonts w:ascii="Arial" w:hAnsi="Arial" w:cs="Arial"/>
          <w:b/>
        </w:rPr>
        <w:t>Por Tipo de Banca</w:t>
      </w:r>
    </w:p>
    <w:p w14:paraId="29270474" w14:textId="43E41BB0" w:rsidR="008B1B58" w:rsidRPr="00CA34F5" w:rsidRDefault="00513FF9" w:rsidP="000A4C31">
      <w:pPr>
        <w:spacing w:after="0" w:line="240" w:lineRule="auto"/>
        <w:contextualSpacing/>
        <w:rPr>
          <w:rFonts w:ascii="Arial" w:eastAsia="Calibri" w:hAnsi="Arial" w:cs="Arial"/>
          <w:color w:val="000000"/>
        </w:rPr>
      </w:pPr>
      <w:r w:rsidRPr="00CA34F5">
        <w:rPr>
          <w:rFonts w:ascii="Arial" w:hAnsi="Arial" w:cs="Arial"/>
          <w:b/>
        </w:rPr>
        <w:t xml:space="preserve">Al 31 </w:t>
      </w:r>
      <w:r w:rsidR="00DF5516" w:rsidRPr="00CA34F5">
        <w:rPr>
          <w:rFonts w:ascii="Arial" w:hAnsi="Arial" w:cs="Arial"/>
          <w:b/>
        </w:rPr>
        <w:t xml:space="preserve">de </w:t>
      </w:r>
      <w:r w:rsidRPr="00CA34F5">
        <w:rPr>
          <w:rFonts w:ascii="Arial" w:hAnsi="Arial" w:cs="Arial"/>
          <w:b/>
        </w:rPr>
        <w:t>diciembre</w:t>
      </w:r>
      <w:r w:rsidR="00DF5516" w:rsidRPr="00CA34F5">
        <w:rPr>
          <w:rFonts w:ascii="Arial" w:hAnsi="Arial" w:cs="Arial"/>
          <w:b/>
        </w:rPr>
        <w:t xml:space="preserve"> de 2021</w:t>
      </w:r>
      <w:r w:rsidR="00D72E7D" w:rsidRPr="00CA34F5">
        <w:rPr>
          <w:rFonts w:ascii="Arial" w:hAnsi="Arial" w:cs="Arial"/>
          <w:b/>
        </w:rPr>
        <w:t xml:space="preserve"> </w:t>
      </w:r>
      <w:r w:rsidR="00C74C11" w:rsidRPr="00CA34F5">
        <w:rPr>
          <w:rFonts w:ascii="Arial" w:hAnsi="Arial" w:cs="Arial"/>
          <w:b/>
        </w:rPr>
        <w:t>(</w:t>
      </w:r>
      <w:r w:rsidR="00DF5516" w:rsidRPr="00CA34F5">
        <w:rPr>
          <w:rFonts w:ascii="Arial" w:hAnsi="Arial" w:cs="Arial"/>
          <w:b/>
        </w:rPr>
        <w:t>pesos)</w:t>
      </w:r>
    </w:p>
    <w:p w14:paraId="35886E94" w14:textId="77777777" w:rsidR="008D2DC8" w:rsidRPr="00CA34F5" w:rsidRDefault="008D2DC8" w:rsidP="000A4C31">
      <w:pPr>
        <w:pStyle w:val="Default"/>
        <w:tabs>
          <w:tab w:val="left" w:pos="9498"/>
        </w:tabs>
        <w:ind w:right="340"/>
        <w:rPr>
          <w:sz w:val="22"/>
          <w:szCs w:val="22"/>
          <w:lang w:val="es-ES_tradnl"/>
        </w:rPr>
      </w:pPr>
    </w:p>
    <w:tbl>
      <w:tblPr>
        <w:tblW w:w="10080" w:type="dxa"/>
        <w:jc w:val="center"/>
        <w:tblCellMar>
          <w:left w:w="70" w:type="dxa"/>
          <w:right w:w="70" w:type="dxa"/>
        </w:tblCellMar>
        <w:tblLook w:val="04A0" w:firstRow="1" w:lastRow="0" w:firstColumn="1" w:lastColumn="0" w:noHBand="0" w:noVBand="1"/>
      </w:tblPr>
      <w:tblGrid>
        <w:gridCol w:w="2620"/>
        <w:gridCol w:w="3560"/>
        <w:gridCol w:w="3900"/>
      </w:tblGrid>
      <w:tr w:rsidR="008D2DC8" w:rsidRPr="00CA34F5" w14:paraId="3328E423" w14:textId="77777777" w:rsidTr="0091527D">
        <w:trPr>
          <w:trHeight w:val="315"/>
          <w:jc w:val="center"/>
        </w:trPr>
        <w:tc>
          <w:tcPr>
            <w:tcW w:w="2620" w:type="dxa"/>
            <w:tcBorders>
              <w:top w:val="single" w:sz="8" w:space="0" w:color="auto"/>
              <w:left w:val="single" w:sz="8" w:space="0" w:color="auto"/>
              <w:bottom w:val="nil"/>
              <w:right w:val="nil"/>
            </w:tcBorders>
            <w:shd w:val="clear" w:color="000000" w:fill="C00000"/>
            <w:noWrap/>
            <w:vAlign w:val="bottom"/>
            <w:hideMark/>
          </w:tcPr>
          <w:p w14:paraId="589EDC32" w14:textId="77777777" w:rsidR="008D2DC8" w:rsidRPr="00CA34F5" w:rsidRDefault="008D2DC8" w:rsidP="000A4C31">
            <w:pPr>
              <w:spacing w:after="0" w:line="240" w:lineRule="auto"/>
              <w:rPr>
                <w:rFonts w:ascii="Arial" w:eastAsia="Times New Roman" w:hAnsi="Arial" w:cs="Arial"/>
                <w:b/>
                <w:bCs/>
                <w:color w:val="FFFFFF"/>
                <w:lang w:eastAsia="es-MX"/>
              </w:rPr>
            </w:pPr>
            <w:r w:rsidRPr="00CA34F5">
              <w:rPr>
                <w:rFonts w:ascii="Arial" w:eastAsia="Times New Roman" w:hAnsi="Arial" w:cs="Arial"/>
                <w:b/>
                <w:bCs/>
                <w:color w:val="FFFFFF"/>
                <w:lang w:eastAsia="es-MX"/>
              </w:rPr>
              <w:t>DEUDA TOTAL</w:t>
            </w:r>
          </w:p>
        </w:tc>
        <w:tc>
          <w:tcPr>
            <w:tcW w:w="3560" w:type="dxa"/>
            <w:tcBorders>
              <w:top w:val="single" w:sz="8" w:space="0" w:color="auto"/>
              <w:left w:val="nil"/>
              <w:bottom w:val="nil"/>
              <w:right w:val="nil"/>
            </w:tcBorders>
            <w:shd w:val="clear" w:color="000000" w:fill="C00000"/>
            <w:noWrap/>
            <w:vAlign w:val="bottom"/>
            <w:hideMark/>
          </w:tcPr>
          <w:p w14:paraId="61725370" w14:textId="77777777" w:rsidR="008D2DC8" w:rsidRPr="00CA34F5" w:rsidRDefault="008D2DC8" w:rsidP="000A4C31">
            <w:pPr>
              <w:spacing w:after="0" w:line="240" w:lineRule="auto"/>
              <w:jc w:val="left"/>
              <w:rPr>
                <w:rFonts w:ascii="Arial" w:eastAsia="Times New Roman" w:hAnsi="Arial" w:cs="Arial"/>
                <w:b/>
                <w:bCs/>
                <w:color w:val="FFFFFF"/>
                <w:lang w:eastAsia="es-MX"/>
              </w:rPr>
            </w:pPr>
            <w:r w:rsidRPr="00CA34F5">
              <w:rPr>
                <w:rFonts w:ascii="Arial" w:eastAsia="Times New Roman" w:hAnsi="Arial" w:cs="Arial"/>
                <w:b/>
                <w:bCs/>
                <w:color w:val="FFFFFF"/>
                <w:lang w:eastAsia="es-MX"/>
              </w:rPr>
              <w:t> </w:t>
            </w:r>
          </w:p>
        </w:tc>
        <w:tc>
          <w:tcPr>
            <w:tcW w:w="3900" w:type="dxa"/>
            <w:tcBorders>
              <w:top w:val="single" w:sz="8" w:space="0" w:color="auto"/>
              <w:left w:val="nil"/>
              <w:bottom w:val="nil"/>
              <w:right w:val="single" w:sz="8" w:space="0" w:color="auto"/>
            </w:tcBorders>
            <w:shd w:val="clear" w:color="000000" w:fill="C00000"/>
            <w:noWrap/>
            <w:vAlign w:val="bottom"/>
            <w:hideMark/>
          </w:tcPr>
          <w:p w14:paraId="79F7D164" w14:textId="77777777" w:rsidR="008D2DC8" w:rsidRPr="00CA34F5" w:rsidRDefault="008D2DC8" w:rsidP="000A4C31">
            <w:pPr>
              <w:spacing w:after="0" w:line="240" w:lineRule="auto"/>
              <w:jc w:val="right"/>
              <w:rPr>
                <w:rFonts w:ascii="Arial" w:eastAsia="Times New Roman" w:hAnsi="Arial" w:cs="Arial"/>
                <w:b/>
                <w:bCs/>
                <w:color w:val="FFFFFF"/>
                <w:lang w:eastAsia="es-MX"/>
              </w:rPr>
            </w:pPr>
            <w:r w:rsidRPr="00CA34F5">
              <w:rPr>
                <w:rFonts w:ascii="Arial" w:eastAsia="Times New Roman" w:hAnsi="Arial" w:cs="Arial"/>
                <w:b/>
                <w:bCs/>
                <w:color w:val="FFFFFF"/>
                <w:lang w:eastAsia="es-MX"/>
              </w:rPr>
              <w:t>5,861,886,316</w:t>
            </w:r>
          </w:p>
        </w:tc>
      </w:tr>
      <w:tr w:rsidR="008D2DC8" w:rsidRPr="00CA34F5" w14:paraId="2853E68D" w14:textId="77777777" w:rsidTr="0091527D">
        <w:trPr>
          <w:trHeight w:val="315"/>
          <w:jc w:val="center"/>
        </w:trPr>
        <w:tc>
          <w:tcPr>
            <w:tcW w:w="6180" w:type="dxa"/>
            <w:gridSpan w:val="2"/>
            <w:tcBorders>
              <w:top w:val="single" w:sz="4" w:space="0" w:color="auto"/>
              <w:left w:val="single" w:sz="4" w:space="0" w:color="auto"/>
              <w:bottom w:val="nil"/>
              <w:right w:val="nil"/>
            </w:tcBorders>
            <w:shd w:val="clear" w:color="000000" w:fill="FFFFFF"/>
            <w:noWrap/>
            <w:vAlign w:val="bottom"/>
            <w:hideMark/>
          </w:tcPr>
          <w:p w14:paraId="42C4E177" w14:textId="77777777" w:rsidR="008D2DC8" w:rsidRPr="00CA34F5" w:rsidRDefault="008D2DC8"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SECTOR PÚBLICO CENTRAL</w:t>
            </w:r>
          </w:p>
        </w:tc>
        <w:tc>
          <w:tcPr>
            <w:tcW w:w="3900" w:type="dxa"/>
            <w:tcBorders>
              <w:top w:val="single" w:sz="4" w:space="0" w:color="auto"/>
              <w:left w:val="nil"/>
              <w:bottom w:val="nil"/>
              <w:right w:val="single" w:sz="4" w:space="0" w:color="auto"/>
            </w:tcBorders>
            <w:shd w:val="clear" w:color="000000" w:fill="FFFFFF"/>
            <w:noWrap/>
            <w:vAlign w:val="bottom"/>
            <w:hideMark/>
          </w:tcPr>
          <w:p w14:paraId="160A6867" w14:textId="77777777" w:rsidR="008D2DC8" w:rsidRPr="00CA34F5" w:rsidRDefault="008D2DC8"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r>
      <w:tr w:rsidR="008D2DC8" w:rsidRPr="00CA34F5" w14:paraId="17086B42" w14:textId="77777777" w:rsidTr="0091527D">
        <w:trPr>
          <w:trHeight w:val="315"/>
          <w:jc w:val="center"/>
        </w:trPr>
        <w:tc>
          <w:tcPr>
            <w:tcW w:w="2620" w:type="dxa"/>
            <w:tcBorders>
              <w:top w:val="nil"/>
              <w:left w:val="single" w:sz="4" w:space="0" w:color="auto"/>
              <w:bottom w:val="nil"/>
              <w:right w:val="nil"/>
            </w:tcBorders>
            <w:shd w:val="clear" w:color="000000" w:fill="FFFFFF"/>
            <w:noWrap/>
            <w:vAlign w:val="bottom"/>
            <w:hideMark/>
          </w:tcPr>
          <w:p w14:paraId="35C06C5D" w14:textId="77777777" w:rsidR="008D2DC8" w:rsidRPr="00CA34F5" w:rsidRDefault="008D2DC8"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3560" w:type="dxa"/>
            <w:tcBorders>
              <w:top w:val="nil"/>
              <w:left w:val="nil"/>
              <w:bottom w:val="nil"/>
              <w:right w:val="nil"/>
            </w:tcBorders>
            <w:shd w:val="clear" w:color="000000" w:fill="FFFFFF"/>
            <w:noWrap/>
            <w:vAlign w:val="bottom"/>
            <w:hideMark/>
          </w:tcPr>
          <w:p w14:paraId="320A0E04" w14:textId="77777777" w:rsidR="008D2DC8" w:rsidRPr="00CA34F5" w:rsidRDefault="008D2DC8"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BANORTE</w:t>
            </w:r>
          </w:p>
        </w:tc>
        <w:tc>
          <w:tcPr>
            <w:tcW w:w="3900" w:type="dxa"/>
            <w:tcBorders>
              <w:top w:val="nil"/>
              <w:left w:val="nil"/>
              <w:bottom w:val="nil"/>
              <w:right w:val="single" w:sz="4" w:space="0" w:color="auto"/>
            </w:tcBorders>
            <w:shd w:val="clear" w:color="000000" w:fill="FFFFFF"/>
            <w:noWrap/>
            <w:vAlign w:val="bottom"/>
            <w:hideMark/>
          </w:tcPr>
          <w:p w14:paraId="46C88E50" w14:textId="77777777" w:rsidR="008D2DC8" w:rsidRPr="00CA34F5" w:rsidRDefault="008D2DC8" w:rsidP="000A4C31">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1,323,332,136</w:t>
            </w:r>
          </w:p>
        </w:tc>
      </w:tr>
      <w:tr w:rsidR="008D2DC8" w:rsidRPr="00CA34F5" w14:paraId="7893A651" w14:textId="77777777" w:rsidTr="0091527D">
        <w:trPr>
          <w:trHeight w:val="315"/>
          <w:jc w:val="center"/>
        </w:trPr>
        <w:tc>
          <w:tcPr>
            <w:tcW w:w="2620" w:type="dxa"/>
            <w:tcBorders>
              <w:top w:val="nil"/>
              <w:left w:val="single" w:sz="4" w:space="0" w:color="auto"/>
              <w:bottom w:val="nil"/>
              <w:right w:val="nil"/>
            </w:tcBorders>
            <w:shd w:val="clear" w:color="000000" w:fill="FFFFFF"/>
            <w:noWrap/>
            <w:vAlign w:val="bottom"/>
            <w:hideMark/>
          </w:tcPr>
          <w:p w14:paraId="39076E70" w14:textId="77777777" w:rsidR="008D2DC8" w:rsidRPr="00CA34F5" w:rsidRDefault="008D2DC8"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3560" w:type="dxa"/>
            <w:tcBorders>
              <w:top w:val="nil"/>
              <w:left w:val="nil"/>
              <w:bottom w:val="nil"/>
              <w:right w:val="nil"/>
            </w:tcBorders>
            <w:shd w:val="clear" w:color="000000" w:fill="FFFFFF"/>
            <w:noWrap/>
            <w:vAlign w:val="bottom"/>
            <w:hideMark/>
          </w:tcPr>
          <w:p w14:paraId="6D247FA6" w14:textId="77777777" w:rsidR="008D2DC8" w:rsidRPr="00CA34F5" w:rsidRDefault="008D2DC8"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BANAMEX</w:t>
            </w:r>
          </w:p>
        </w:tc>
        <w:tc>
          <w:tcPr>
            <w:tcW w:w="3900" w:type="dxa"/>
            <w:tcBorders>
              <w:top w:val="nil"/>
              <w:left w:val="nil"/>
              <w:bottom w:val="nil"/>
              <w:right w:val="single" w:sz="4" w:space="0" w:color="auto"/>
            </w:tcBorders>
            <w:shd w:val="clear" w:color="000000" w:fill="FFFFFF"/>
            <w:noWrap/>
            <w:vAlign w:val="bottom"/>
            <w:hideMark/>
          </w:tcPr>
          <w:p w14:paraId="2C41EFA7" w14:textId="77777777" w:rsidR="008D2DC8" w:rsidRPr="00CA34F5" w:rsidRDefault="008D2DC8" w:rsidP="000A4C31">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1,091,025,610</w:t>
            </w:r>
          </w:p>
        </w:tc>
      </w:tr>
      <w:tr w:rsidR="008D2DC8" w:rsidRPr="00CA34F5" w14:paraId="2D5BECAC" w14:textId="77777777" w:rsidTr="0091527D">
        <w:trPr>
          <w:trHeight w:val="315"/>
          <w:jc w:val="center"/>
        </w:trPr>
        <w:tc>
          <w:tcPr>
            <w:tcW w:w="2620" w:type="dxa"/>
            <w:tcBorders>
              <w:top w:val="nil"/>
              <w:left w:val="single" w:sz="4" w:space="0" w:color="auto"/>
              <w:bottom w:val="nil"/>
              <w:right w:val="nil"/>
            </w:tcBorders>
            <w:shd w:val="clear" w:color="000000" w:fill="FFFFFF"/>
            <w:noWrap/>
            <w:vAlign w:val="bottom"/>
            <w:hideMark/>
          </w:tcPr>
          <w:p w14:paraId="53606AA9" w14:textId="77777777" w:rsidR="008D2DC8" w:rsidRPr="00CA34F5" w:rsidRDefault="008D2DC8"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3560" w:type="dxa"/>
            <w:tcBorders>
              <w:top w:val="nil"/>
              <w:left w:val="nil"/>
              <w:bottom w:val="nil"/>
              <w:right w:val="nil"/>
            </w:tcBorders>
            <w:shd w:val="clear" w:color="000000" w:fill="FFFFFF"/>
            <w:noWrap/>
            <w:vAlign w:val="bottom"/>
            <w:hideMark/>
          </w:tcPr>
          <w:p w14:paraId="34E8AB57" w14:textId="1B32656F" w:rsidR="008D2DC8" w:rsidRPr="00CA34F5" w:rsidRDefault="00E1411C"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BBVA MÉXICO</w:t>
            </w:r>
          </w:p>
        </w:tc>
        <w:tc>
          <w:tcPr>
            <w:tcW w:w="3900" w:type="dxa"/>
            <w:tcBorders>
              <w:top w:val="nil"/>
              <w:left w:val="nil"/>
              <w:bottom w:val="nil"/>
              <w:right w:val="single" w:sz="4" w:space="0" w:color="auto"/>
            </w:tcBorders>
            <w:shd w:val="clear" w:color="000000" w:fill="FFFFFF"/>
            <w:noWrap/>
            <w:vAlign w:val="bottom"/>
            <w:hideMark/>
          </w:tcPr>
          <w:p w14:paraId="5D01E931" w14:textId="77777777" w:rsidR="008D2DC8" w:rsidRPr="00CA34F5" w:rsidRDefault="008D2DC8" w:rsidP="000A4C31">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886,244,199</w:t>
            </w:r>
          </w:p>
        </w:tc>
      </w:tr>
      <w:tr w:rsidR="008D2DC8" w:rsidRPr="00CA34F5" w14:paraId="3EE1DD13" w14:textId="77777777" w:rsidTr="0091527D">
        <w:trPr>
          <w:trHeight w:val="315"/>
          <w:jc w:val="center"/>
        </w:trPr>
        <w:tc>
          <w:tcPr>
            <w:tcW w:w="2620" w:type="dxa"/>
            <w:tcBorders>
              <w:top w:val="nil"/>
              <w:left w:val="single" w:sz="4" w:space="0" w:color="auto"/>
              <w:bottom w:val="nil"/>
              <w:right w:val="nil"/>
            </w:tcBorders>
            <w:shd w:val="clear" w:color="000000" w:fill="FFFFFF"/>
            <w:noWrap/>
            <w:vAlign w:val="bottom"/>
            <w:hideMark/>
          </w:tcPr>
          <w:p w14:paraId="3A933D3B" w14:textId="77777777" w:rsidR="008D2DC8" w:rsidRPr="00CA34F5" w:rsidRDefault="008D2DC8"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3560" w:type="dxa"/>
            <w:tcBorders>
              <w:top w:val="nil"/>
              <w:left w:val="nil"/>
              <w:bottom w:val="nil"/>
              <w:right w:val="nil"/>
            </w:tcBorders>
            <w:shd w:val="clear" w:color="000000" w:fill="FFFFFF"/>
            <w:noWrap/>
            <w:vAlign w:val="bottom"/>
            <w:hideMark/>
          </w:tcPr>
          <w:p w14:paraId="3DA0C37F" w14:textId="77777777" w:rsidR="008D2DC8" w:rsidRPr="00CA34F5" w:rsidRDefault="008D2DC8"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BANAMEX (SJP)</w:t>
            </w:r>
          </w:p>
        </w:tc>
        <w:tc>
          <w:tcPr>
            <w:tcW w:w="3900" w:type="dxa"/>
            <w:tcBorders>
              <w:top w:val="nil"/>
              <w:left w:val="nil"/>
              <w:bottom w:val="nil"/>
              <w:right w:val="single" w:sz="4" w:space="0" w:color="auto"/>
            </w:tcBorders>
            <w:shd w:val="clear" w:color="000000" w:fill="FFFFFF"/>
            <w:noWrap/>
            <w:vAlign w:val="bottom"/>
            <w:hideMark/>
          </w:tcPr>
          <w:p w14:paraId="5B78A86A" w14:textId="77777777" w:rsidR="008D2DC8" w:rsidRPr="00CA34F5" w:rsidRDefault="008D2DC8" w:rsidP="000A4C31">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202,500,000</w:t>
            </w:r>
          </w:p>
        </w:tc>
      </w:tr>
      <w:tr w:rsidR="008D2DC8" w:rsidRPr="00CA34F5" w14:paraId="679DE9FF" w14:textId="77777777" w:rsidTr="0091527D">
        <w:trPr>
          <w:trHeight w:val="315"/>
          <w:jc w:val="center"/>
        </w:trPr>
        <w:tc>
          <w:tcPr>
            <w:tcW w:w="2620" w:type="dxa"/>
            <w:tcBorders>
              <w:top w:val="nil"/>
              <w:left w:val="single" w:sz="4" w:space="0" w:color="auto"/>
              <w:bottom w:val="nil"/>
              <w:right w:val="nil"/>
            </w:tcBorders>
            <w:shd w:val="clear" w:color="000000" w:fill="FFFFFF"/>
            <w:noWrap/>
            <w:vAlign w:val="bottom"/>
            <w:hideMark/>
          </w:tcPr>
          <w:p w14:paraId="79EAF153" w14:textId="77777777" w:rsidR="008D2DC8" w:rsidRPr="00CA34F5" w:rsidRDefault="008D2DC8"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3560" w:type="dxa"/>
            <w:tcBorders>
              <w:top w:val="nil"/>
              <w:left w:val="nil"/>
              <w:bottom w:val="nil"/>
              <w:right w:val="nil"/>
            </w:tcBorders>
            <w:shd w:val="clear" w:color="000000" w:fill="FFFFFF"/>
            <w:noWrap/>
            <w:vAlign w:val="bottom"/>
            <w:hideMark/>
          </w:tcPr>
          <w:p w14:paraId="4538EBAC" w14:textId="77777777" w:rsidR="008D2DC8" w:rsidRPr="00CA34F5" w:rsidRDefault="008D2DC8"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SCOTIABANK-INVERLAT</w:t>
            </w:r>
          </w:p>
        </w:tc>
        <w:tc>
          <w:tcPr>
            <w:tcW w:w="3900" w:type="dxa"/>
            <w:tcBorders>
              <w:top w:val="nil"/>
              <w:left w:val="nil"/>
              <w:bottom w:val="nil"/>
              <w:right w:val="single" w:sz="4" w:space="0" w:color="auto"/>
            </w:tcBorders>
            <w:shd w:val="clear" w:color="000000" w:fill="FFFFFF"/>
            <w:noWrap/>
            <w:vAlign w:val="bottom"/>
            <w:hideMark/>
          </w:tcPr>
          <w:p w14:paraId="33B5FC54" w14:textId="77777777" w:rsidR="008D2DC8" w:rsidRPr="00CA34F5" w:rsidRDefault="008D2DC8" w:rsidP="000A4C31">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379,661,017</w:t>
            </w:r>
          </w:p>
        </w:tc>
      </w:tr>
      <w:tr w:rsidR="008D2DC8" w:rsidRPr="00CA34F5" w14:paraId="31C9D497" w14:textId="77777777" w:rsidTr="0091527D">
        <w:trPr>
          <w:trHeight w:val="315"/>
          <w:jc w:val="center"/>
        </w:trPr>
        <w:tc>
          <w:tcPr>
            <w:tcW w:w="2620" w:type="dxa"/>
            <w:tcBorders>
              <w:top w:val="nil"/>
              <w:left w:val="single" w:sz="4" w:space="0" w:color="auto"/>
              <w:bottom w:val="nil"/>
              <w:right w:val="nil"/>
            </w:tcBorders>
            <w:shd w:val="clear" w:color="000000" w:fill="FFFFFF"/>
            <w:noWrap/>
            <w:vAlign w:val="bottom"/>
            <w:hideMark/>
          </w:tcPr>
          <w:p w14:paraId="3026C06B" w14:textId="77777777" w:rsidR="008D2DC8" w:rsidRPr="00CA34F5" w:rsidRDefault="008D2DC8"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3560" w:type="dxa"/>
            <w:tcBorders>
              <w:top w:val="nil"/>
              <w:left w:val="nil"/>
              <w:bottom w:val="nil"/>
              <w:right w:val="nil"/>
            </w:tcBorders>
            <w:shd w:val="clear" w:color="000000" w:fill="FFFFFF"/>
            <w:noWrap/>
            <w:vAlign w:val="bottom"/>
            <w:hideMark/>
          </w:tcPr>
          <w:p w14:paraId="59B0881C" w14:textId="77777777" w:rsidR="008D2DC8" w:rsidRPr="00CA34F5" w:rsidRDefault="008D2DC8"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3900" w:type="dxa"/>
            <w:tcBorders>
              <w:top w:val="nil"/>
              <w:left w:val="nil"/>
              <w:bottom w:val="nil"/>
              <w:right w:val="single" w:sz="4" w:space="0" w:color="auto"/>
            </w:tcBorders>
            <w:shd w:val="clear" w:color="000000" w:fill="FFFFFF"/>
            <w:noWrap/>
            <w:vAlign w:val="bottom"/>
            <w:hideMark/>
          </w:tcPr>
          <w:p w14:paraId="64627FB3" w14:textId="77777777" w:rsidR="008D2DC8" w:rsidRPr="00CA34F5" w:rsidRDefault="008D2DC8"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r>
      <w:tr w:rsidR="008D2DC8" w:rsidRPr="00CA34F5" w14:paraId="550E5543" w14:textId="77777777" w:rsidTr="0091527D">
        <w:trPr>
          <w:trHeight w:val="315"/>
          <w:jc w:val="center"/>
        </w:trPr>
        <w:tc>
          <w:tcPr>
            <w:tcW w:w="2620" w:type="dxa"/>
            <w:tcBorders>
              <w:top w:val="nil"/>
              <w:left w:val="single" w:sz="4" w:space="0" w:color="auto"/>
              <w:bottom w:val="nil"/>
              <w:right w:val="nil"/>
            </w:tcBorders>
            <w:shd w:val="clear" w:color="000000" w:fill="FFFFFF"/>
            <w:noWrap/>
            <w:vAlign w:val="bottom"/>
            <w:hideMark/>
          </w:tcPr>
          <w:p w14:paraId="26ED612D" w14:textId="77777777" w:rsidR="008D2DC8" w:rsidRPr="00CA34F5" w:rsidRDefault="008D2DC8"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3560" w:type="dxa"/>
            <w:tcBorders>
              <w:top w:val="nil"/>
              <w:left w:val="nil"/>
              <w:bottom w:val="nil"/>
              <w:right w:val="nil"/>
            </w:tcBorders>
            <w:shd w:val="clear" w:color="000000" w:fill="FFFFFF"/>
            <w:noWrap/>
            <w:vAlign w:val="bottom"/>
            <w:hideMark/>
          </w:tcPr>
          <w:p w14:paraId="7BB5B749" w14:textId="77777777" w:rsidR="008D2DC8" w:rsidRPr="00CA34F5" w:rsidRDefault="008D2DC8" w:rsidP="000A4C31">
            <w:pPr>
              <w:spacing w:after="0" w:line="240" w:lineRule="auto"/>
              <w:jc w:val="left"/>
              <w:rPr>
                <w:rFonts w:ascii="Arial" w:eastAsia="Times New Roman" w:hAnsi="Arial" w:cs="Arial"/>
                <w:b/>
                <w:bCs/>
                <w:color w:val="000000"/>
                <w:lang w:eastAsia="es-MX"/>
              </w:rPr>
            </w:pPr>
            <w:r w:rsidRPr="00CA34F5">
              <w:rPr>
                <w:rFonts w:ascii="Arial" w:eastAsia="Times New Roman" w:hAnsi="Arial" w:cs="Arial"/>
                <w:b/>
                <w:bCs/>
                <w:color w:val="000000"/>
                <w:lang w:eastAsia="es-MX"/>
              </w:rPr>
              <w:t>Subtotal</w:t>
            </w:r>
          </w:p>
        </w:tc>
        <w:tc>
          <w:tcPr>
            <w:tcW w:w="3900" w:type="dxa"/>
            <w:tcBorders>
              <w:top w:val="nil"/>
              <w:left w:val="nil"/>
              <w:bottom w:val="nil"/>
              <w:right w:val="single" w:sz="4" w:space="0" w:color="auto"/>
            </w:tcBorders>
            <w:shd w:val="clear" w:color="000000" w:fill="FFFFFF"/>
            <w:noWrap/>
            <w:vAlign w:val="bottom"/>
            <w:hideMark/>
          </w:tcPr>
          <w:p w14:paraId="054577B7" w14:textId="77777777" w:rsidR="008D2DC8" w:rsidRPr="00CA34F5" w:rsidRDefault="008D2DC8" w:rsidP="000A4C31">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3,882,762,961</w:t>
            </w:r>
          </w:p>
        </w:tc>
      </w:tr>
      <w:tr w:rsidR="008D2DC8" w:rsidRPr="00CA34F5" w14:paraId="2FCB9AFA" w14:textId="77777777" w:rsidTr="0091527D">
        <w:trPr>
          <w:trHeight w:val="315"/>
          <w:jc w:val="center"/>
        </w:trPr>
        <w:tc>
          <w:tcPr>
            <w:tcW w:w="6180" w:type="dxa"/>
            <w:gridSpan w:val="2"/>
            <w:tcBorders>
              <w:top w:val="nil"/>
              <w:left w:val="single" w:sz="4" w:space="0" w:color="auto"/>
              <w:bottom w:val="nil"/>
              <w:right w:val="nil"/>
            </w:tcBorders>
            <w:shd w:val="clear" w:color="000000" w:fill="FFFFFF"/>
            <w:noWrap/>
            <w:vAlign w:val="bottom"/>
            <w:hideMark/>
          </w:tcPr>
          <w:p w14:paraId="21E9C482" w14:textId="07361218" w:rsidR="008D2DC8" w:rsidRPr="00CA34F5" w:rsidRDefault="00DF52DC" w:rsidP="00364DEF">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OBLIGACIONES</w:t>
            </w:r>
            <w:r w:rsidR="008D2DC8" w:rsidRPr="00CA34F5">
              <w:rPr>
                <w:rFonts w:ascii="Arial" w:eastAsia="Times New Roman" w:hAnsi="Arial" w:cs="Arial"/>
                <w:color w:val="000000"/>
                <w:lang w:eastAsia="es-MX"/>
              </w:rPr>
              <w:t xml:space="preserve"> </w:t>
            </w:r>
            <w:r w:rsidRPr="00CA34F5">
              <w:rPr>
                <w:rFonts w:ascii="Arial" w:eastAsia="Times New Roman" w:hAnsi="Arial" w:cs="Arial"/>
                <w:color w:val="000000"/>
                <w:lang w:eastAsia="es-MX"/>
              </w:rPr>
              <w:t xml:space="preserve">A PAGAR CON BONOS CUPÓN CERO AL VENCIMIENTO, SIMULTÁNEO </w:t>
            </w:r>
            <w:r w:rsidR="00364DEF" w:rsidRPr="00CA34F5">
              <w:rPr>
                <w:rFonts w:ascii="Arial" w:eastAsia="Times New Roman" w:hAnsi="Arial" w:cs="Arial"/>
                <w:color w:val="000000"/>
                <w:lang w:eastAsia="es-MX"/>
              </w:rPr>
              <w:t>EL DE</w:t>
            </w:r>
            <w:r w:rsidRPr="00CA34F5">
              <w:rPr>
                <w:rFonts w:ascii="Arial" w:eastAsia="Times New Roman" w:hAnsi="Arial" w:cs="Arial"/>
                <w:color w:val="000000"/>
                <w:lang w:eastAsia="es-MX"/>
              </w:rPr>
              <w:t xml:space="preserve"> </w:t>
            </w:r>
            <w:r w:rsidR="00364DEF" w:rsidRPr="00CA34F5">
              <w:rPr>
                <w:rFonts w:ascii="Arial" w:eastAsia="Times New Roman" w:hAnsi="Arial" w:cs="Arial"/>
                <w:color w:val="000000"/>
                <w:lang w:eastAsia="es-MX"/>
              </w:rPr>
              <w:t>DICHOS BONOS</w:t>
            </w:r>
            <w:r w:rsidRPr="00CA34F5">
              <w:rPr>
                <w:rFonts w:ascii="Arial" w:eastAsia="Times New Roman" w:hAnsi="Arial" w:cs="Arial"/>
                <w:color w:val="000000"/>
                <w:lang w:eastAsia="es-MX"/>
              </w:rPr>
              <w:t>.</w:t>
            </w:r>
          </w:p>
        </w:tc>
        <w:tc>
          <w:tcPr>
            <w:tcW w:w="3900" w:type="dxa"/>
            <w:tcBorders>
              <w:top w:val="nil"/>
              <w:left w:val="nil"/>
              <w:bottom w:val="nil"/>
              <w:right w:val="single" w:sz="4" w:space="0" w:color="auto"/>
            </w:tcBorders>
            <w:shd w:val="clear" w:color="000000" w:fill="FFFFFF"/>
            <w:noWrap/>
            <w:vAlign w:val="bottom"/>
            <w:hideMark/>
          </w:tcPr>
          <w:p w14:paraId="2024688D" w14:textId="77777777" w:rsidR="008D2DC8" w:rsidRPr="00CA34F5" w:rsidRDefault="008D2DC8" w:rsidP="000A4C31">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 </w:t>
            </w:r>
          </w:p>
        </w:tc>
      </w:tr>
      <w:tr w:rsidR="008D2DC8" w:rsidRPr="00CA34F5" w14:paraId="3107E859" w14:textId="77777777" w:rsidTr="0091527D">
        <w:trPr>
          <w:trHeight w:val="315"/>
          <w:jc w:val="center"/>
        </w:trPr>
        <w:tc>
          <w:tcPr>
            <w:tcW w:w="2620" w:type="dxa"/>
            <w:tcBorders>
              <w:top w:val="nil"/>
              <w:left w:val="single" w:sz="4" w:space="0" w:color="auto"/>
              <w:bottom w:val="nil"/>
              <w:right w:val="nil"/>
            </w:tcBorders>
            <w:shd w:val="clear" w:color="000000" w:fill="FFFFFF"/>
            <w:noWrap/>
            <w:vAlign w:val="bottom"/>
            <w:hideMark/>
          </w:tcPr>
          <w:p w14:paraId="310533AD" w14:textId="77777777" w:rsidR="008D2DC8" w:rsidRPr="00CA34F5" w:rsidRDefault="008D2DC8"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3560" w:type="dxa"/>
            <w:tcBorders>
              <w:top w:val="nil"/>
              <w:left w:val="nil"/>
              <w:bottom w:val="nil"/>
              <w:right w:val="nil"/>
            </w:tcBorders>
            <w:shd w:val="clear" w:color="000000" w:fill="FFFFFF"/>
            <w:noWrap/>
            <w:vAlign w:val="bottom"/>
            <w:hideMark/>
          </w:tcPr>
          <w:p w14:paraId="2F9C38EF" w14:textId="77777777" w:rsidR="008D2DC8" w:rsidRPr="00CA34F5" w:rsidRDefault="008D2DC8"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BANOBRAS S.N.C. (FONREC)</w:t>
            </w:r>
          </w:p>
        </w:tc>
        <w:tc>
          <w:tcPr>
            <w:tcW w:w="3900" w:type="dxa"/>
            <w:tcBorders>
              <w:top w:val="nil"/>
              <w:left w:val="nil"/>
              <w:bottom w:val="nil"/>
              <w:right w:val="single" w:sz="4" w:space="0" w:color="auto"/>
            </w:tcBorders>
            <w:shd w:val="clear" w:color="000000" w:fill="FFFFFF"/>
            <w:noWrap/>
            <w:vAlign w:val="bottom"/>
            <w:hideMark/>
          </w:tcPr>
          <w:p w14:paraId="1740EE6F" w14:textId="77777777" w:rsidR="008D2DC8" w:rsidRPr="00CA34F5" w:rsidRDefault="008D2DC8" w:rsidP="000A4C31">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1,319,430,177</w:t>
            </w:r>
          </w:p>
        </w:tc>
      </w:tr>
      <w:tr w:rsidR="008D2DC8" w:rsidRPr="00CA34F5" w14:paraId="4031B3A6" w14:textId="77777777" w:rsidTr="0091527D">
        <w:trPr>
          <w:trHeight w:val="315"/>
          <w:jc w:val="center"/>
        </w:trPr>
        <w:tc>
          <w:tcPr>
            <w:tcW w:w="2620" w:type="dxa"/>
            <w:tcBorders>
              <w:top w:val="nil"/>
              <w:left w:val="single" w:sz="4" w:space="0" w:color="auto"/>
              <w:bottom w:val="nil"/>
              <w:right w:val="nil"/>
            </w:tcBorders>
            <w:shd w:val="clear" w:color="000000" w:fill="FFFFFF"/>
            <w:noWrap/>
            <w:vAlign w:val="bottom"/>
            <w:hideMark/>
          </w:tcPr>
          <w:p w14:paraId="176977E0" w14:textId="77777777" w:rsidR="008D2DC8" w:rsidRPr="00CA34F5" w:rsidRDefault="008D2DC8"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3560" w:type="dxa"/>
            <w:tcBorders>
              <w:top w:val="nil"/>
              <w:left w:val="nil"/>
              <w:bottom w:val="nil"/>
              <w:right w:val="nil"/>
            </w:tcBorders>
            <w:shd w:val="clear" w:color="000000" w:fill="FFFFFF"/>
            <w:noWrap/>
            <w:vAlign w:val="bottom"/>
            <w:hideMark/>
          </w:tcPr>
          <w:p w14:paraId="4428822C" w14:textId="77777777" w:rsidR="008D2DC8" w:rsidRPr="00CA34F5" w:rsidRDefault="008D2DC8"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BANOBRAS S.N.C. (PROFISE)</w:t>
            </w:r>
          </w:p>
        </w:tc>
        <w:tc>
          <w:tcPr>
            <w:tcW w:w="3900" w:type="dxa"/>
            <w:tcBorders>
              <w:top w:val="nil"/>
              <w:left w:val="nil"/>
              <w:bottom w:val="nil"/>
              <w:right w:val="single" w:sz="4" w:space="0" w:color="auto"/>
            </w:tcBorders>
            <w:shd w:val="clear" w:color="auto" w:fill="auto"/>
            <w:noWrap/>
            <w:vAlign w:val="bottom"/>
            <w:hideMark/>
          </w:tcPr>
          <w:p w14:paraId="6116BBDB" w14:textId="77777777" w:rsidR="008D2DC8" w:rsidRPr="00CA34F5" w:rsidRDefault="008D2DC8" w:rsidP="000A4C31">
            <w:pPr>
              <w:spacing w:after="0"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659,693,178</w:t>
            </w:r>
          </w:p>
        </w:tc>
      </w:tr>
      <w:tr w:rsidR="008D2DC8" w:rsidRPr="00CA34F5" w14:paraId="476DE953" w14:textId="77777777" w:rsidTr="0091527D">
        <w:trPr>
          <w:trHeight w:val="315"/>
          <w:jc w:val="center"/>
        </w:trPr>
        <w:tc>
          <w:tcPr>
            <w:tcW w:w="2620" w:type="dxa"/>
            <w:tcBorders>
              <w:top w:val="nil"/>
              <w:left w:val="single" w:sz="4" w:space="0" w:color="auto"/>
              <w:bottom w:val="nil"/>
              <w:right w:val="nil"/>
            </w:tcBorders>
            <w:shd w:val="clear" w:color="000000" w:fill="FFFFFF"/>
            <w:noWrap/>
            <w:vAlign w:val="bottom"/>
            <w:hideMark/>
          </w:tcPr>
          <w:p w14:paraId="4DC5C125" w14:textId="77777777" w:rsidR="008D2DC8" w:rsidRPr="00CA34F5" w:rsidRDefault="008D2DC8"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3560" w:type="dxa"/>
            <w:tcBorders>
              <w:top w:val="nil"/>
              <w:left w:val="nil"/>
              <w:bottom w:val="nil"/>
              <w:right w:val="nil"/>
            </w:tcBorders>
            <w:shd w:val="clear" w:color="000000" w:fill="FFFFFF"/>
            <w:noWrap/>
            <w:vAlign w:val="bottom"/>
            <w:hideMark/>
          </w:tcPr>
          <w:p w14:paraId="368F7A1D" w14:textId="77777777" w:rsidR="008D2DC8" w:rsidRPr="00CA34F5" w:rsidRDefault="008D2DC8" w:rsidP="000A4C31">
            <w:pPr>
              <w:spacing w:after="0" w:line="240" w:lineRule="auto"/>
              <w:jc w:val="left"/>
              <w:rPr>
                <w:rFonts w:ascii="Arial" w:eastAsia="Times New Roman" w:hAnsi="Arial" w:cs="Arial"/>
                <w:b/>
                <w:bCs/>
                <w:color w:val="000000"/>
                <w:lang w:eastAsia="es-MX"/>
              </w:rPr>
            </w:pPr>
            <w:r w:rsidRPr="00CA34F5">
              <w:rPr>
                <w:rFonts w:ascii="Arial" w:eastAsia="Times New Roman" w:hAnsi="Arial" w:cs="Arial"/>
                <w:b/>
                <w:bCs/>
                <w:color w:val="000000"/>
                <w:lang w:eastAsia="es-MX"/>
              </w:rPr>
              <w:t>Subtotal</w:t>
            </w:r>
          </w:p>
        </w:tc>
        <w:tc>
          <w:tcPr>
            <w:tcW w:w="3900" w:type="dxa"/>
            <w:tcBorders>
              <w:top w:val="nil"/>
              <w:left w:val="nil"/>
              <w:bottom w:val="nil"/>
              <w:right w:val="single" w:sz="4" w:space="0" w:color="auto"/>
            </w:tcBorders>
            <w:shd w:val="clear" w:color="000000" w:fill="FFFFFF"/>
            <w:noWrap/>
            <w:vAlign w:val="bottom"/>
            <w:hideMark/>
          </w:tcPr>
          <w:p w14:paraId="394C83ED" w14:textId="77777777" w:rsidR="008D2DC8" w:rsidRPr="00CA34F5" w:rsidRDefault="008D2DC8" w:rsidP="000A4C31">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1,979,123,355</w:t>
            </w:r>
          </w:p>
        </w:tc>
      </w:tr>
      <w:tr w:rsidR="008D2DC8" w:rsidRPr="00CA34F5" w14:paraId="41437071" w14:textId="77777777" w:rsidTr="0091527D">
        <w:trPr>
          <w:trHeight w:val="315"/>
          <w:jc w:val="center"/>
        </w:trPr>
        <w:tc>
          <w:tcPr>
            <w:tcW w:w="2620" w:type="dxa"/>
            <w:tcBorders>
              <w:top w:val="nil"/>
              <w:left w:val="single" w:sz="4" w:space="0" w:color="auto"/>
              <w:bottom w:val="single" w:sz="4" w:space="0" w:color="auto"/>
              <w:right w:val="nil"/>
            </w:tcBorders>
            <w:shd w:val="clear" w:color="000000" w:fill="FFFFFF"/>
            <w:noWrap/>
            <w:vAlign w:val="bottom"/>
            <w:hideMark/>
          </w:tcPr>
          <w:p w14:paraId="5E9CE0E7" w14:textId="77777777" w:rsidR="008D2DC8" w:rsidRPr="00CA34F5" w:rsidRDefault="008D2DC8"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3560" w:type="dxa"/>
            <w:tcBorders>
              <w:top w:val="nil"/>
              <w:left w:val="nil"/>
              <w:bottom w:val="single" w:sz="4" w:space="0" w:color="auto"/>
              <w:right w:val="nil"/>
            </w:tcBorders>
            <w:shd w:val="clear" w:color="000000" w:fill="FFFFFF"/>
            <w:noWrap/>
            <w:vAlign w:val="bottom"/>
            <w:hideMark/>
          </w:tcPr>
          <w:p w14:paraId="436CF042" w14:textId="77777777" w:rsidR="008D2DC8" w:rsidRPr="00CA34F5" w:rsidRDefault="008D2DC8" w:rsidP="000A4C31">
            <w:pPr>
              <w:spacing w:after="0" w:line="240" w:lineRule="auto"/>
              <w:jc w:val="left"/>
              <w:rPr>
                <w:rFonts w:ascii="Arial" w:eastAsia="Times New Roman" w:hAnsi="Arial" w:cs="Arial"/>
                <w:b/>
                <w:bCs/>
                <w:color w:val="000000"/>
                <w:lang w:eastAsia="es-MX"/>
              </w:rPr>
            </w:pPr>
            <w:r w:rsidRPr="00CA34F5">
              <w:rPr>
                <w:rFonts w:ascii="Arial" w:eastAsia="Times New Roman" w:hAnsi="Arial" w:cs="Arial"/>
                <w:b/>
                <w:bCs/>
                <w:color w:val="000000"/>
                <w:lang w:eastAsia="es-MX"/>
              </w:rPr>
              <w:t> </w:t>
            </w:r>
          </w:p>
        </w:tc>
        <w:tc>
          <w:tcPr>
            <w:tcW w:w="3900" w:type="dxa"/>
            <w:tcBorders>
              <w:top w:val="nil"/>
              <w:left w:val="nil"/>
              <w:bottom w:val="single" w:sz="4" w:space="0" w:color="auto"/>
              <w:right w:val="single" w:sz="4" w:space="0" w:color="auto"/>
            </w:tcBorders>
            <w:shd w:val="clear" w:color="000000" w:fill="FFFFFF"/>
            <w:noWrap/>
            <w:vAlign w:val="bottom"/>
            <w:hideMark/>
          </w:tcPr>
          <w:p w14:paraId="4549F4DC" w14:textId="77777777" w:rsidR="008D2DC8" w:rsidRPr="00CA34F5" w:rsidRDefault="008D2DC8" w:rsidP="000A4C31">
            <w:pPr>
              <w:spacing w:after="0" w:line="240" w:lineRule="auto"/>
              <w:jc w:val="right"/>
              <w:rPr>
                <w:rFonts w:ascii="Arial" w:eastAsia="Times New Roman" w:hAnsi="Arial" w:cs="Arial"/>
                <w:b/>
                <w:bCs/>
                <w:color w:val="000000"/>
                <w:lang w:eastAsia="es-MX"/>
              </w:rPr>
            </w:pPr>
            <w:r w:rsidRPr="00CA34F5">
              <w:rPr>
                <w:rFonts w:ascii="Arial" w:eastAsia="Times New Roman" w:hAnsi="Arial" w:cs="Arial"/>
                <w:b/>
                <w:bCs/>
                <w:color w:val="000000"/>
                <w:lang w:eastAsia="es-MX"/>
              </w:rPr>
              <w:t> </w:t>
            </w:r>
          </w:p>
        </w:tc>
      </w:tr>
    </w:tbl>
    <w:p w14:paraId="18814C8A" w14:textId="11FB7E73" w:rsidR="00A8113F" w:rsidRPr="00CA34F5" w:rsidRDefault="008D2DC8" w:rsidP="000A4C31">
      <w:pPr>
        <w:pStyle w:val="Default"/>
        <w:ind w:right="340"/>
        <w:jc w:val="left"/>
        <w:rPr>
          <w:b/>
          <w:sz w:val="22"/>
          <w:szCs w:val="22"/>
          <w:lang w:val="es-ES_tradnl"/>
        </w:rPr>
      </w:pPr>
      <w:r w:rsidRPr="00CA34F5">
        <w:rPr>
          <w:b/>
          <w:sz w:val="22"/>
          <w:szCs w:val="22"/>
          <w:lang w:val="es-ES_tradnl"/>
        </w:rPr>
        <w:t xml:space="preserve">                 </w:t>
      </w:r>
    </w:p>
    <w:p w14:paraId="1E33FC0B" w14:textId="77777777" w:rsidR="00D40079" w:rsidRPr="00CA34F5" w:rsidRDefault="00D40079" w:rsidP="00A8113F">
      <w:pPr>
        <w:pStyle w:val="Default"/>
        <w:ind w:right="340"/>
        <w:rPr>
          <w:b/>
          <w:sz w:val="22"/>
          <w:szCs w:val="22"/>
          <w:lang w:val="es-ES_tradnl"/>
        </w:rPr>
      </w:pPr>
    </w:p>
    <w:p w14:paraId="1A0DA204" w14:textId="259FA799" w:rsidR="008D2DC8" w:rsidRPr="00CA34F5" w:rsidRDefault="008D2DC8" w:rsidP="00A8113F">
      <w:pPr>
        <w:pStyle w:val="Default"/>
        <w:ind w:right="340"/>
        <w:rPr>
          <w:b/>
          <w:sz w:val="22"/>
          <w:szCs w:val="22"/>
          <w:lang w:val="es-ES_tradnl"/>
        </w:rPr>
      </w:pPr>
      <w:r w:rsidRPr="00CA34F5">
        <w:rPr>
          <w:b/>
          <w:sz w:val="22"/>
          <w:szCs w:val="22"/>
          <w:lang w:val="es-ES_tradnl"/>
        </w:rPr>
        <w:lastRenderedPageBreak/>
        <w:t>Fuente de Financiamiento y % de Afectación de las Participaciones Federales (pesos)</w:t>
      </w:r>
    </w:p>
    <w:p w14:paraId="0E250ECF" w14:textId="77777777" w:rsidR="00F84F23" w:rsidRPr="00CA34F5" w:rsidRDefault="00F84F23" w:rsidP="00A8113F">
      <w:pPr>
        <w:pStyle w:val="Default"/>
        <w:ind w:right="340"/>
        <w:rPr>
          <w:b/>
          <w:sz w:val="22"/>
          <w:szCs w:val="22"/>
          <w:lang w:val="es-ES_tradnl"/>
        </w:rPr>
      </w:pPr>
    </w:p>
    <w:tbl>
      <w:tblPr>
        <w:tblW w:w="12825" w:type="dxa"/>
        <w:jc w:val="center"/>
        <w:tblLayout w:type="fixed"/>
        <w:tblCellMar>
          <w:left w:w="70" w:type="dxa"/>
          <w:right w:w="70" w:type="dxa"/>
        </w:tblCellMar>
        <w:tblLook w:val="04A0" w:firstRow="1" w:lastRow="0" w:firstColumn="1" w:lastColumn="0" w:noHBand="0" w:noVBand="1"/>
      </w:tblPr>
      <w:tblGrid>
        <w:gridCol w:w="1602"/>
        <w:gridCol w:w="1594"/>
        <w:gridCol w:w="1434"/>
        <w:gridCol w:w="1744"/>
        <w:gridCol w:w="1559"/>
        <w:gridCol w:w="1560"/>
        <w:gridCol w:w="992"/>
        <w:gridCol w:w="1134"/>
        <w:gridCol w:w="1206"/>
      </w:tblGrid>
      <w:tr w:rsidR="00F84F23" w:rsidRPr="00267429" w14:paraId="05E4F8A6" w14:textId="77777777" w:rsidTr="00EB6558">
        <w:trPr>
          <w:trHeight w:val="1098"/>
          <w:jc w:val="center"/>
        </w:trPr>
        <w:tc>
          <w:tcPr>
            <w:tcW w:w="1602"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39D76A11" w14:textId="77777777" w:rsidR="008D2DC8" w:rsidRPr="00267429" w:rsidRDefault="008D2DC8" w:rsidP="00267429">
            <w:pPr>
              <w:spacing w:after="0" w:line="240" w:lineRule="auto"/>
              <w:rPr>
                <w:rFonts w:ascii="Arial" w:eastAsia="Times New Roman" w:hAnsi="Arial" w:cs="Arial"/>
                <w:b/>
                <w:bCs/>
                <w:color w:val="FFFFFF"/>
                <w:sz w:val="18"/>
                <w:szCs w:val="20"/>
                <w:lang w:eastAsia="es-MX"/>
              </w:rPr>
            </w:pPr>
            <w:r w:rsidRPr="00267429">
              <w:rPr>
                <w:rFonts w:ascii="Arial" w:eastAsia="Times New Roman" w:hAnsi="Arial" w:cs="Arial"/>
                <w:b/>
                <w:bCs/>
                <w:color w:val="FFFFFF"/>
                <w:sz w:val="18"/>
                <w:szCs w:val="20"/>
                <w:lang w:eastAsia="es-MX"/>
              </w:rPr>
              <w:t>INSTITUCION FINANCIERA</w:t>
            </w:r>
          </w:p>
        </w:tc>
        <w:tc>
          <w:tcPr>
            <w:tcW w:w="1594" w:type="dxa"/>
            <w:tcBorders>
              <w:top w:val="single" w:sz="4" w:space="0" w:color="auto"/>
              <w:left w:val="nil"/>
              <w:bottom w:val="single" w:sz="4" w:space="0" w:color="auto"/>
              <w:right w:val="single" w:sz="4" w:space="0" w:color="auto"/>
            </w:tcBorders>
            <w:shd w:val="clear" w:color="000000" w:fill="C00000"/>
            <w:vAlign w:val="center"/>
            <w:hideMark/>
          </w:tcPr>
          <w:p w14:paraId="180CE46C" w14:textId="77777777" w:rsidR="008D2DC8" w:rsidRPr="00267429" w:rsidRDefault="008D2DC8" w:rsidP="00267429">
            <w:pPr>
              <w:spacing w:after="0" w:line="240" w:lineRule="auto"/>
              <w:rPr>
                <w:rFonts w:ascii="Arial" w:eastAsia="Times New Roman" w:hAnsi="Arial" w:cs="Arial"/>
                <w:b/>
                <w:bCs/>
                <w:color w:val="FFFFFF"/>
                <w:sz w:val="18"/>
                <w:szCs w:val="20"/>
                <w:lang w:eastAsia="es-MX"/>
              </w:rPr>
            </w:pPr>
            <w:r w:rsidRPr="00267429">
              <w:rPr>
                <w:rFonts w:ascii="Arial" w:eastAsia="Times New Roman" w:hAnsi="Arial" w:cs="Arial"/>
                <w:b/>
                <w:bCs/>
                <w:color w:val="FFFFFF"/>
                <w:sz w:val="18"/>
                <w:szCs w:val="20"/>
                <w:lang w:eastAsia="es-MX"/>
              </w:rPr>
              <w:t>FUENTE DE PAGO</w:t>
            </w:r>
          </w:p>
        </w:tc>
        <w:tc>
          <w:tcPr>
            <w:tcW w:w="1434" w:type="dxa"/>
            <w:tcBorders>
              <w:top w:val="single" w:sz="4" w:space="0" w:color="auto"/>
              <w:left w:val="nil"/>
              <w:bottom w:val="single" w:sz="4" w:space="0" w:color="auto"/>
              <w:right w:val="single" w:sz="4" w:space="0" w:color="auto"/>
            </w:tcBorders>
            <w:shd w:val="clear" w:color="000000" w:fill="C00000"/>
            <w:vAlign w:val="center"/>
            <w:hideMark/>
          </w:tcPr>
          <w:p w14:paraId="41A3B955" w14:textId="77777777" w:rsidR="008D2DC8" w:rsidRPr="00267429" w:rsidRDefault="008D2DC8" w:rsidP="00267429">
            <w:pPr>
              <w:spacing w:after="0" w:line="240" w:lineRule="auto"/>
              <w:rPr>
                <w:rFonts w:ascii="Arial" w:eastAsia="Times New Roman" w:hAnsi="Arial" w:cs="Arial"/>
                <w:b/>
                <w:bCs/>
                <w:color w:val="FFFFFF"/>
                <w:sz w:val="18"/>
                <w:szCs w:val="15"/>
                <w:lang w:eastAsia="es-MX"/>
              </w:rPr>
            </w:pPr>
            <w:r w:rsidRPr="00267429">
              <w:rPr>
                <w:rFonts w:ascii="Arial" w:eastAsia="Times New Roman" w:hAnsi="Arial" w:cs="Arial"/>
                <w:b/>
                <w:bCs/>
                <w:color w:val="FFFFFF"/>
                <w:sz w:val="18"/>
                <w:szCs w:val="15"/>
                <w:lang w:eastAsia="es-MX"/>
              </w:rPr>
              <w:t xml:space="preserve">FECHA DE CONTRATACION </w:t>
            </w:r>
            <w:r w:rsidRPr="00267429">
              <w:rPr>
                <w:rFonts w:ascii="Arial" w:eastAsia="Times New Roman" w:hAnsi="Arial" w:cs="Arial"/>
                <w:color w:val="FFFFFF"/>
                <w:sz w:val="18"/>
                <w:szCs w:val="15"/>
                <w:lang w:eastAsia="es-MX"/>
              </w:rPr>
              <w:t>(Según Contrato)</w:t>
            </w:r>
          </w:p>
        </w:tc>
        <w:tc>
          <w:tcPr>
            <w:tcW w:w="1744" w:type="dxa"/>
            <w:tcBorders>
              <w:top w:val="single" w:sz="4" w:space="0" w:color="auto"/>
              <w:left w:val="nil"/>
              <w:bottom w:val="single" w:sz="4" w:space="0" w:color="auto"/>
              <w:right w:val="single" w:sz="4" w:space="0" w:color="auto"/>
            </w:tcBorders>
            <w:shd w:val="clear" w:color="000000" w:fill="C00000"/>
            <w:vAlign w:val="center"/>
            <w:hideMark/>
          </w:tcPr>
          <w:p w14:paraId="4109D143" w14:textId="77777777" w:rsidR="008D2DC8" w:rsidRPr="00267429" w:rsidRDefault="008D2DC8" w:rsidP="00267429">
            <w:pPr>
              <w:spacing w:after="0" w:line="240" w:lineRule="auto"/>
              <w:rPr>
                <w:rFonts w:ascii="Arial" w:eastAsia="Times New Roman" w:hAnsi="Arial" w:cs="Arial"/>
                <w:b/>
                <w:bCs/>
                <w:color w:val="FFFFFF"/>
                <w:sz w:val="18"/>
                <w:szCs w:val="20"/>
                <w:lang w:eastAsia="es-MX"/>
              </w:rPr>
            </w:pPr>
            <w:r w:rsidRPr="00267429">
              <w:rPr>
                <w:rFonts w:ascii="Arial" w:eastAsia="Times New Roman" w:hAnsi="Arial" w:cs="Arial"/>
                <w:b/>
                <w:bCs/>
                <w:color w:val="FFFFFF"/>
                <w:sz w:val="18"/>
                <w:szCs w:val="20"/>
                <w:lang w:eastAsia="es-MX"/>
              </w:rPr>
              <w:t>MONTO CONTRATADO (ORIGINAL)</w:t>
            </w:r>
          </w:p>
        </w:tc>
        <w:tc>
          <w:tcPr>
            <w:tcW w:w="1559"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30ADD9F2" w14:textId="77777777" w:rsidR="008D2DC8" w:rsidRPr="00267429" w:rsidRDefault="008D2DC8" w:rsidP="00267429">
            <w:pPr>
              <w:spacing w:after="0" w:line="240" w:lineRule="auto"/>
              <w:rPr>
                <w:rFonts w:ascii="Arial" w:eastAsia="Times New Roman" w:hAnsi="Arial" w:cs="Arial"/>
                <w:b/>
                <w:bCs/>
                <w:color w:val="FFFFFF"/>
                <w:sz w:val="18"/>
                <w:szCs w:val="20"/>
                <w:lang w:eastAsia="es-MX"/>
              </w:rPr>
            </w:pPr>
            <w:r w:rsidRPr="00267429">
              <w:rPr>
                <w:rFonts w:ascii="Arial" w:eastAsia="Times New Roman" w:hAnsi="Arial" w:cs="Arial"/>
                <w:b/>
                <w:bCs/>
                <w:color w:val="FFFFFF"/>
                <w:sz w:val="18"/>
                <w:szCs w:val="20"/>
                <w:lang w:eastAsia="es-MX"/>
              </w:rPr>
              <w:t>MONTO DISPUESTO</w:t>
            </w:r>
          </w:p>
        </w:tc>
        <w:tc>
          <w:tcPr>
            <w:tcW w:w="1560"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188EF441" w14:textId="77777777" w:rsidR="008D2DC8" w:rsidRPr="00267429" w:rsidRDefault="008D2DC8" w:rsidP="00267429">
            <w:pPr>
              <w:spacing w:after="0" w:line="240" w:lineRule="auto"/>
              <w:rPr>
                <w:rFonts w:ascii="Arial" w:eastAsia="Times New Roman" w:hAnsi="Arial" w:cs="Arial"/>
                <w:b/>
                <w:bCs/>
                <w:color w:val="FFFFFF"/>
                <w:sz w:val="18"/>
                <w:szCs w:val="20"/>
                <w:lang w:eastAsia="es-MX"/>
              </w:rPr>
            </w:pPr>
            <w:r w:rsidRPr="00267429">
              <w:rPr>
                <w:rFonts w:ascii="Arial" w:eastAsia="Times New Roman" w:hAnsi="Arial" w:cs="Arial"/>
                <w:b/>
                <w:bCs/>
                <w:color w:val="FFFFFF"/>
                <w:sz w:val="18"/>
                <w:szCs w:val="20"/>
                <w:lang w:eastAsia="es-MX"/>
              </w:rPr>
              <w:t>MONTO ACTUAL</w:t>
            </w:r>
            <w:r w:rsidRPr="00267429">
              <w:rPr>
                <w:rFonts w:ascii="Arial" w:eastAsia="Times New Roman" w:hAnsi="Arial" w:cs="Arial"/>
                <w:color w:val="FFFFFF"/>
                <w:sz w:val="18"/>
                <w:szCs w:val="20"/>
                <w:lang w:eastAsia="es-MX"/>
              </w:rPr>
              <w:t xml:space="preserve"> (31 DE DICIEMBRE DE 2021)</w:t>
            </w:r>
          </w:p>
        </w:tc>
        <w:tc>
          <w:tcPr>
            <w:tcW w:w="992" w:type="dxa"/>
            <w:tcBorders>
              <w:top w:val="single" w:sz="4" w:space="0" w:color="auto"/>
              <w:left w:val="nil"/>
              <w:bottom w:val="single" w:sz="4" w:space="0" w:color="auto"/>
              <w:right w:val="single" w:sz="4" w:space="0" w:color="auto"/>
            </w:tcBorders>
            <w:shd w:val="clear" w:color="000000" w:fill="C00000"/>
            <w:vAlign w:val="center"/>
            <w:hideMark/>
          </w:tcPr>
          <w:p w14:paraId="3F3D2533" w14:textId="77777777" w:rsidR="008D2DC8" w:rsidRPr="00267429" w:rsidRDefault="008D2DC8" w:rsidP="00267429">
            <w:pPr>
              <w:spacing w:after="0" w:line="240" w:lineRule="auto"/>
              <w:rPr>
                <w:rFonts w:ascii="Arial" w:eastAsia="Times New Roman" w:hAnsi="Arial" w:cs="Arial"/>
                <w:b/>
                <w:bCs/>
                <w:color w:val="FFFFFF"/>
                <w:sz w:val="18"/>
                <w:szCs w:val="15"/>
                <w:lang w:eastAsia="es-MX"/>
              </w:rPr>
            </w:pPr>
            <w:r w:rsidRPr="00267429">
              <w:rPr>
                <w:rFonts w:ascii="Arial" w:eastAsia="Times New Roman" w:hAnsi="Arial" w:cs="Arial"/>
                <w:b/>
                <w:bCs/>
                <w:color w:val="FFFFFF"/>
                <w:sz w:val="18"/>
                <w:szCs w:val="15"/>
                <w:lang w:eastAsia="es-MX"/>
              </w:rPr>
              <w:t>FECHA DE VENCIMIENTO</w:t>
            </w:r>
          </w:p>
        </w:tc>
        <w:tc>
          <w:tcPr>
            <w:tcW w:w="1134" w:type="dxa"/>
            <w:tcBorders>
              <w:top w:val="single" w:sz="4" w:space="0" w:color="auto"/>
              <w:left w:val="nil"/>
              <w:bottom w:val="single" w:sz="4" w:space="0" w:color="auto"/>
              <w:right w:val="single" w:sz="4" w:space="0" w:color="auto"/>
            </w:tcBorders>
            <w:shd w:val="clear" w:color="000000" w:fill="C00000"/>
            <w:vAlign w:val="center"/>
            <w:hideMark/>
          </w:tcPr>
          <w:p w14:paraId="27C8E939" w14:textId="77777777" w:rsidR="008D2DC8" w:rsidRPr="00267429" w:rsidRDefault="008D2DC8" w:rsidP="00267429">
            <w:pPr>
              <w:spacing w:after="0" w:line="240" w:lineRule="auto"/>
              <w:rPr>
                <w:rFonts w:ascii="Arial" w:eastAsia="Times New Roman" w:hAnsi="Arial" w:cs="Arial"/>
                <w:b/>
                <w:bCs/>
                <w:color w:val="FFFFFF"/>
                <w:sz w:val="18"/>
                <w:szCs w:val="18"/>
                <w:lang w:eastAsia="es-MX"/>
              </w:rPr>
            </w:pPr>
            <w:r w:rsidRPr="00267429">
              <w:rPr>
                <w:rFonts w:ascii="Arial" w:eastAsia="Times New Roman" w:hAnsi="Arial" w:cs="Arial"/>
                <w:b/>
                <w:bCs/>
                <w:color w:val="FFFFFF"/>
                <w:sz w:val="18"/>
                <w:szCs w:val="18"/>
                <w:lang w:eastAsia="es-MX"/>
              </w:rPr>
              <w:t>CONDICIONES (TASA DE INTERÉS)</w:t>
            </w:r>
          </w:p>
        </w:tc>
        <w:tc>
          <w:tcPr>
            <w:tcW w:w="1206"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61A8056C" w14:textId="77777777" w:rsidR="008D2DC8" w:rsidRPr="00267429" w:rsidRDefault="008D2DC8" w:rsidP="00267429">
            <w:pPr>
              <w:spacing w:after="0" w:line="240" w:lineRule="auto"/>
              <w:rPr>
                <w:rFonts w:ascii="Arial" w:eastAsia="Times New Roman" w:hAnsi="Arial" w:cs="Arial"/>
                <w:b/>
                <w:bCs/>
                <w:color w:val="FFFFFF"/>
                <w:sz w:val="18"/>
                <w:lang w:eastAsia="es-MX"/>
              </w:rPr>
            </w:pPr>
            <w:r w:rsidRPr="00267429">
              <w:rPr>
                <w:rFonts w:ascii="Arial" w:eastAsia="Times New Roman" w:hAnsi="Arial" w:cs="Arial"/>
                <w:b/>
                <w:bCs/>
                <w:color w:val="FFFFFF"/>
                <w:sz w:val="18"/>
                <w:lang w:eastAsia="es-MX"/>
              </w:rPr>
              <w:t xml:space="preserve">% </w:t>
            </w:r>
            <w:r w:rsidRPr="00267429">
              <w:rPr>
                <w:rFonts w:ascii="Arial" w:eastAsia="Times New Roman" w:hAnsi="Arial" w:cs="Arial"/>
                <w:b/>
                <w:bCs/>
                <w:color w:val="FFFFFF"/>
                <w:sz w:val="18"/>
                <w:szCs w:val="15"/>
                <w:lang w:eastAsia="es-MX"/>
              </w:rPr>
              <w:t xml:space="preserve">AFECTACIÓN </w:t>
            </w:r>
            <w:r w:rsidRPr="00267429">
              <w:rPr>
                <w:rFonts w:ascii="Arial" w:eastAsia="Times New Roman" w:hAnsi="Arial" w:cs="Arial"/>
                <w:b/>
                <w:bCs/>
                <w:color w:val="FFFFFF"/>
                <w:sz w:val="18"/>
                <w:szCs w:val="14"/>
                <w:lang w:eastAsia="es-MX"/>
              </w:rPr>
              <w:t xml:space="preserve">PARTICIPACIONES </w:t>
            </w:r>
            <w:r w:rsidRPr="00267429">
              <w:rPr>
                <w:rFonts w:ascii="Arial" w:eastAsia="Times New Roman" w:hAnsi="Arial" w:cs="Arial"/>
                <w:b/>
                <w:bCs/>
                <w:color w:val="FFFFFF"/>
                <w:sz w:val="18"/>
                <w:szCs w:val="15"/>
                <w:lang w:eastAsia="es-MX"/>
              </w:rPr>
              <w:t>FEDERALES</w:t>
            </w:r>
          </w:p>
        </w:tc>
      </w:tr>
      <w:tr w:rsidR="00F84F23" w:rsidRPr="00267429" w14:paraId="0C9EA024" w14:textId="77777777" w:rsidTr="00EB6558">
        <w:trPr>
          <w:trHeight w:val="288"/>
          <w:jc w:val="center"/>
        </w:trPr>
        <w:tc>
          <w:tcPr>
            <w:tcW w:w="1602" w:type="dxa"/>
            <w:tcBorders>
              <w:top w:val="nil"/>
              <w:left w:val="single" w:sz="4" w:space="0" w:color="auto"/>
              <w:bottom w:val="single" w:sz="4" w:space="0" w:color="auto"/>
              <w:right w:val="single" w:sz="4" w:space="0" w:color="auto"/>
            </w:tcBorders>
            <w:shd w:val="clear" w:color="000000" w:fill="C00000"/>
            <w:vAlign w:val="center"/>
            <w:hideMark/>
          </w:tcPr>
          <w:p w14:paraId="3C23A7CF" w14:textId="4A67FA1B" w:rsidR="008D2DC8" w:rsidRPr="00267429" w:rsidRDefault="008D2DC8" w:rsidP="00267429">
            <w:pPr>
              <w:spacing w:after="0" w:line="240" w:lineRule="auto"/>
              <w:rPr>
                <w:rFonts w:ascii="Arial" w:eastAsia="Times New Roman" w:hAnsi="Arial" w:cs="Arial"/>
                <w:b/>
                <w:bCs/>
                <w:color w:val="FFFFFF"/>
                <w:sz w:val="18"/>
                <w:lang w:eastAsia="es-MX"/>
              </w:rPr>
            </w:pPr>
          </w:p>
        </w:tc>
        <w:tc>
          <w:tcPr>
            <w:tcW w:w="1594" w:type="dxa"/>
            <w:tcBorders>
              <w:top w:val="nil"/>
              <w:left w:val="nil"/>
              <w:bottom w:val="single" w:sz="4" w:space="0" w:color="auto"/>
              <w:right w:val="single" w:sz="4" w:space="0" w:color="auto"/>
            </w:tcBorders>
            <w:shd w:val="clear" w:color="000000" w:fill="C00000"/>
            <w:vAlign w:val="center"/>
            <w:hideMark/>
          </w:tcPr>
          <w:p w14:paraId="3EE9902F" w14:textId="77777777" w:rsidR="008D2DC8" w:rsidRPr="00267429" w:rsidRDefault="008D2DC8" w:rsidP="00267429">
            <w:pPr>
              <w:spacing w:after="0" w:line="240" w:lineRule="auto"/>
              <w:rPr>
                <w:rFonts w:ascii="Arial" w:eastAsia="Times New Roman" w:hAnsi="Arial" w:cs="Arial"/>
                <w:b/>
                <w:bCs/>
                <w:color w:val="FFFFFF"/>
                <w:sz w:val="18"/>
                <w:lang w:eastAsia="es-MX"/>
              </w:rPr>
            </w:pPr>
            <w:r w:rsidRPr="00267429">
              <w:rPr>
                <w:rFonts w:ascii="Arial" w:eastAsia="Times New Roman" w:hAnsi="Arial" w:cs="Arial"/>
                <w:b/>
                <w:bCs/>
                <w:color w:val="FFFFFF"/>
                <w:sz w:val="18"/>
                <w:lang w:eastAsia="es-MX"/>
              </w:rPr>
              <w:t>LARGO PLAZO</w:t>
            </w:r>
          </w:p>
        </w:tc>
        <w:tc>
          <w:tcPr>
            <w:tcW w:w="1434" w:type="dxa"/>
            <w:tcBorders>
              <w:top w:val="nil"/>
              <w:left w:val="nil"/>
              <w:bottom w:val="single" w:sz="4" w:space="0" w:color="auto"/>
              <w:right w:val="single" w:sz="4" w:space="0" w:color="auto"/>
            </w:tcBorders>
            <w:shd w:val="clear" w:color="000000" w:fill="C00000"/>
            <w:vAlign w:val="center"/>
            <w:hideMark/>
          </w:tcPr>
          <w:p w14:paraId="214D28B4" w14:textId="77777777" w:rsidR="008D2DC8" w:rsidRPr="00267429" w:rsidRDefault="008D2DC8" w:rsidP="00267429">
            <w:pPr>
              <w:spacing w:after="0" w:line="240" w:lineRule="auto"/>
              <w:rPr>
                <w:rFonts w:ascii="Arial" w:eastAsia="Times New Roman" w:hAnsi="Arial" w:cs="Arial"/>
                <w:b/>
                <w:bCs/>
                <w:color w:val="FFFFFF"/>
                <w:sz w:val="18"/>
                <w:lang w:eastAsia="es-MX"/>
              </w:rPr>
            </w:pPr>
            <w:r w:rsidRPr="00267429">
              <w:rPr>
                <w:rFonts w:ascii="Arial" w:eastAsia="Times New Roman" w:hAnsi="Arial" w:cs="Arial"/>
                <w:b/>
                <w:bCs/>
                <w:color w:val="FFFFFF"/>
                <w:sz w:val="18"/>
                <w:lang w:eastAsia="es-MX"/>
              </w:rPr>
              <w:t> </w:t>
            </w:r>
          </w:p>
        </w:tc>
        <w:tc>
          <w:tcPr>
            <w:tcW w:w="1744"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281F3BC3" w14:textId="77777777" w:rsidR="008D2DC8" w:rsidRPr="00267429" w:rsidRDefault="008D2DC8" w:rsidP="00267429">
            <w:pPr>
              <w:spacing w:after="0" w:line="240" w:lineRule="auto"/>
              <w:jc w:val="right"/>
              <w:rPr>
                <w:rFonts w:ascii="Arial" w:eastAsia="Times New Roman" w:hAnsi="Arial" w:cs="Arial"/>
                <w:b/>
                <w:bCs/>
                <w:color w:val="FFFFFF"/>
                <w:sz w:val="18"/>
                <w:lang w:eastAsia="es-MX"/>
              </w:rPr>
            </w:pPr>
            <w:r w:rsidRPr="00267429">
              <w:rPr>
                <w:rFonts w:ascii="Arial" w:eastAsia="Times New Roman" w:hAnsi="Arial" w:cs="Arial"/>
                <w:b/>
                <w:bCs/>
                <w:color w:val="FFFFFF"/>
                <w:sz w:val="18"/>
                <w:lang w:eastAsia="es-MX"/>
              </w:rPr>
              <w:t>9,040,406,226</w:t>
            </w:r>
          </w:p>
        </w:tc>
        <w:tc>
          <w:tcPr>
            <w:tcW w:w="1559" w:type="dxa"/>
            <w:tcBorders>
              <w:top w:val="nil"/>
              <w:left w:val="nil"/>
              <w:bottom w:val="single" w:sz="4" w:space="0" w:color="auto"/>
              <w:right w:val="single" w:sz="4" w:space="0" w:color="auto"/>
            </w:tcBorders>
            <w:shd w:val="clear" w:color="000000" w:fill="C00000"/>
            <w:noWrap/>
            <w:vAlign w:val="center"/>
            <w:hideMark/>
          </w:tcPr>
          <w:p w14:paraId="51446E6C" w14:textId="77777777" w:rsidR="008D2DC8" w:rsidRPr="00267429" w:rsidRDefault="008D2DC8" w:rsidP="00267429">
            <w:pPr>
              <w:spacing w:after="0" w:line="240" w:lineRule="auto"/>
              <w:jc w:val="right"/>
              <w:rPr>
                <w:rFonts w:ascii="Arial" w:eastAsia="Times New Roman" w:hAnsi="Arial" w:cs="Arial"/>
                <w:b/>
                <w:bCs/>
                <w:color w:val="FFFFFF"/>
                <w:sz w:val="18"/>
                <w:lang w:eastAsia="es-MX"/>
              </w:rPr>
            </w:pPr>
            <w:r w:rsidRPr="00267429">
              <w:rPr>
                <w:rFonts w:ascii="Arial" w:eastAsia="Times New Roman" w:hAnsi="Arial" w:cs="Arial"/>
                <w:b/>
                <w:bCs/>
                <w:color w:val="FFFFFF"/>
                <w:sz w:val="18"/>
                <w:lang w:eastAsia="es-MX"/>
              </w:rPr>
              <w:t>7,229,123,355</w:t>
            </w:r>
          </w:p>
        </w:tc>
        <w:tc>
          <w:tcPr>
            <w:tcW w:w="1560" w:type="dxa"/>
            <w:tcBorders>
              <w:top w:val="single" w:sz="4" w:space="0" w:color="auto"/>
              <w:left w:val="nil"/>
              <w:bottom w:val="single" w:sz="4" w:space="0" w:color="auto"/>
              <w:right w:val="single" w:sz="4" w:space="0" w:color="auto"/>
            </w:tcBorders>
            <w:shd w:val="clear" w:color="000000" w:fill="C00000"/>
            <w:noWrap/>
            <w:vAlign w:val="center"/>
            <w:hideMark/>
          </w:tcPr>
          <w:p w14:paraId="494D031F" w14:textId="77777777" w:rsidR="008D2DC8" w:rsidRPr="00267429" w:rsidRDefault="008D2DC8" w:rsidP="00267429">
            <w:pPr>
              <w:spacing w:after="0" w:line="240" w:lineRule="auto"/>
              <w:jc w:val="right"/>
              <w:rPr>
                <w:rFonts w:ascii="Arial" w:eastAsia="Times New Roman" w:hAnsi="Arial" w:cs="Arial"/>
                <w:b/>
                <w:bCs/>
                <w:color w:val="FFFFFF"/>
                <w:sz w:val="18"/>
                <w:lang w:eastAsia="es-MX"/>
              </w:rPr>
            </w:pPr>
            <w:r w:rsidRPr="00267429">
              <w:rPr>
                <w:rFonts w:ascii="Arial" w:eastAsia="Times New Roman" w:hAnsi="Arial" w:cs="Arial"/>
                <w:b/>
                <w:bCs/>
                <w:color w:val="FFFFFF"/>
                <w:sz w:val="18"/>
                <w:lang w:eastAsia="es-MX"/>
              </w:rPr>
              <w:t>5,861,886,316</w:t>
            </w:r>
          </w:p>
        </w:tc>
        <w:tc>
          <w:tcPr>
            <w:tcW w:w="992" w:type="dxa"/>
            <w:tcBorders>
              <w:top w:val="nil"/>
              <w:left w:val="single" w:sz="4" w:space="0" w:color="auto"/>
              <w:bottom w:val="single" w:sz="4" w:space="0" w:color="auto"/>
              <w:right w:val="single" w:sz="4" w:space="0" w:color="auto"/>
            </w:tcBorders>
            <w:shd w:val="clear" w:color="000000" w:fill="C00000"/>
            <w:vAlign w:val="center"/>
            <w:hideMark/>
          </w:tcPr>
          <w:p w14:paraId="2A7D8698" w14:textId="77777777" w:rsidR="008D2DC8" w:rsidRPr="00267429" w:rsidRDefault="008D2DC8" w:rsidP="00267429">
            <w:pPr>
              <w:spacing w:after="0" w:line="240" w:lineRule="auto"/>
              <w:rPr>
                <w:rFonts w:ascii="Arial" w:eastAsia="Times New Roman" w:hAnsi="Arial" w:cs="Arial"/>
                <w:b/>
                <w:bCs/>
                <w:color w:val="FFFFFF"/>
                <w:sz w:val="18"/>
                <w:lang w:eastAsia="es-MX"/>
              </w:rPr>
            </w:pPr>
            <w:r w:rsidRPr="00267429">
              <w:rPr>
                <w:rFonts w:ascii="Arial" w:eastAsia="Times New Roman" w:hAnsi="Arial" w:cs="Arial"/>
                <w:b/>
                <w:bCs/>
                <w:color w:val="FFFFFF"/>
                <w:sz w:val="18"/>
                <w:lang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2CA12FE4" w14:textId="77777777" w:rsidR="008D2DC8" w:rsidRPr="00267429" w:rsidRDefault="008D2DC8" w:rsidP="00267429">
            <w:pPr>
              <w:spacing w:after="0" w:line="240" w:lineRule="auto"/>
              <w:rPr>
                <w:rFonts w:ascii="Arial" w:eastAsia="Times New Roman" w:hAnsi="Arial" w:cs="Arial"/>
                <w:b/>
                <w:bCs/>
                <w:color w:val="FFFFFF"/>
                <w:sz w:val="18"/>
                <w:lang w:eastAsia="es-MX"/>
              </w:rPr>
            </w:pPr>
            <w:r w:rsidRPr="00267429">
              <w:rPr>
                <w:rFonts w:ascii="Arial" w:eastAsia="Times New Roman" w:hAnsi="Arial" w:cs="Arial"/>
                <w:b/>
                <w:bCs/>
                <w:color w:val="FFFFFF"/>
                <w:sz w:val="18"/>
                <w:lang w:eastAsia="es-MX"/>
              </w:rPr>
              <w:t> </w:t>
            </w:r>
          </w:p>
        </w:tc>
        <w:tc>
          <w:tcPr>
            <w:tcW w:w="1206" w:type="dxa"/>
            <w:tcBorders>
              <w:top w:val="nil"/>
              <w:left w:val="nil"/>
              <w:bottom w:val="single" w:sz="4" w:space="0" w:color="auto"/>
              <w:right w:val="single" w:sz="4" w:space="0" w:color="auto"/>
            </w:tcBorders>
            <w:shd w:val="clear" w:color="000000" w:fill="C00000"/>
            <w:vAlign w:val="center"/>
            <w:hideMark/>
          </w:tcPr>
          <w:p w14:paraId="3EB6F9EC" w14:textId="77777777" w:rsidR="008D2DC8" w:rsidRPr="00267429" w:rsidRDefault="008D2DC8" w:rsidP="00267429">
            <w:pPr>
              <w:spacing w:after="0" w:line="240" w:lineRule="auto"/>
              <w:rPr>
                <w:rFonts w:ascii="Arial" w:eastAsia="Times New Roman" w:hAnsi="Arial" w:cs="Arial"/>
                <w:b/>
                <w:bCs/>
                <w:color w:val="FFFFFF"/>
                <w:sz w:val="18"/>
                <w:lang w:eastAsia="es-MX"/>
              </w:rPr>
            </w:pPr>
            <w:r w:rsidRPr="00267429">
              <w:rPr>
                <w:rFonts w:ascii="Arial" w:eastAsia="Times New Roman" w:hAnsi="Arial" w:cs="Arial"/>
                <w:b/>
                <w:bCs/>
                <w:color w:val="FFFFFF"/>
                <w:sz w:val="18"/>
                <w:lang w:eastAsia="es-MX"/>
              </w:rPr>
              <w:t>24.305</w:t>
            </w:r>
          </w:p>
        </w:tc>
      </w:tr>
      <w:tr w:rsidR="00F84F23" w:rsidRPr="00267429" w14:paraId="14939C33" w14:textId="77777777" w:rsidTr="00EB6558">
        <w:trPr>
          <w:trHeight w:val="358"/>
          <w:jc w:val="center"/>
        </w:trPr>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22A8B" w14:textId="77777777" w:rsidR="008D2DC8" w:rsidRPr="00267429" w:rsidRDefault="008D2DC8"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BANORTE</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02D6E972" w14:textId="77777777" w:rsidR="008D2DC8" w:rsidRPr="00267429" w:rsidRDefault="008D2DC8"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PARTICIPACIONES FEDERALES</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14:paraId="09C670D1" w14:textId="77777777" w:rsidR="008D2DC8" w:rsidRPr="00267429" w:rsidRDefault="008D2DC8"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07-dic-07</w:t>
            </w:r>
          </w:p>
        </w:tc>
        <w:tc>
          <w:tcPr>
            <w:tcW w:w="1744" w:type="dxa"/>
            <w:tcBorders>
              <w:top w:val="nil"/>
              <w:left w:val="nil"/>
              <w:bottom w:val="single" w:sz="4" w:space="0" w:color="auto"/>
              <w:right w:val="single" w:sz="4" w:space="0" w:color="auto"/>
            </w:tcBorders>
            <w:shd w:val="clear" w:color="auto" w:fill="auto"/>
            <w:vAlign w:val="center"/>
            <w:hideMark/>
          </w:tcPr>
          <w:p w14:paraId="1CE2B076" w14:textId="422F7633" w:rsidR="008D2DC8" w:rsidRPr="00267429" w:rsidRDefault="00EC48C5"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 xml:space="preserve">   3,000,000,000</w:t>
            </w:r>
            <w:r w:rsidR="008D2DC8" w:rsidRPr="00267429">
              <w:rPr>
                <w:rFonts w:ascii="Arial" w:eastAsia="Times New Roman" w:hAnsi="Arial" w:cs="Arial"/>
                <w:color w:val="000000"/>
                <w:sz w:val="18"/>
                <w:lang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F98619F" w14:textId="049FF67C" w:rsidR="008D2DC8" w:rsidRPr="00267429" w:rsidRDefault="00EC48C5"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1,500,000,000</w:t>
            </w:r>
            <w:r w:rsidR="008D2DC8" w:rsidRPr="00267429">
              <w:rPr>
                <w:rFonts w:ascii="Arial" w:eastAsia="Times New Roman" w:hAnsi="Arial" w:cs="Arial"/>
                <w:color w:val="000000"/>
                <w:sz w:val="18"/>
                <w:lang w:eastAsia="es-MX"/>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53E5D548" w14:textId="77777777" w:rsidR="008D2DC8" w:rsidRPr="00267429" w:rsidRDefault="008D2DC8" w:rsidP="00267429">
            <w:pPr>
              <w:spacing w:after="0" w:line="240" w:lineRule="auto"/>
              <w:jc w:val="right"/>
              <w:rPr>
                <w:rFonts w:ascii="Arial" w:eastAsia="Times New Roman" w:hAnsi="Arial" w:cs="Arial"/>
                <w:color w:val="000000"/>
                <w:sz w:val="18"/>
                <w:lang w:eastAsia="es-MX"/>
              </w:rPr>
            </w:pPr>
            <w:r w:rsidRPr="00267429">
              <w:rPr>
                <w:rFonts w:ascii="Arial" w:eastAsia="Times New Roman" w:hAnsi="Arial" w:cs="Arial"/>
                <w:color w:val="000000"/>
                <w:sz w:val="18"/>
                <w:lang w:eastAsia="es-MX"/>
              </w:rPr>
              <w:t xml:space="preserve">1,323,332,136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341C73" w14:textId="77777777" w:rsidR="008D2DC8" w:rsidRPr="00267429" w:rsidRDefault="008D2DC8"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28-nov-33</w:t>
            </w:r>
          </w:p>
        </w:tc>
        <w:tc>
          <w:tcPr>
            <w:tcW w:w="1134" w:type="dxa"/>
            <w:tcBorders>
              <w:top w:val="nil"/>
              <w:left w:val="nil"/>
              <w:bottom w:val="single" w:sz="4" w:space="0" w:color="auto"/>
              <w:right w:val="single" w:sz="4" w:space="0" w:color="auto"/>
            </w:tcBorders>
            <w:shd w:val="clear" w:color="auto" w:fill="auto"/>
            <w:noWrap/>
            <w:vAlign w:val="center"/>
            <w:hideMark/>
          </w:tcPr>
          <w:p w14:paraId="713433D4" w14:textId="77777777" w:rsidR="008D2DC8" w:rsidRPr="00267429" w:rsidRDefault="008D2DC8"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TIIE + 0.40</w:t>
            </w:r>
          </w:p>
        </w:tc>
        <w:tc>
          <w:tcPr>
            <w:tcW w:w="1206" w:type="dxa"/>
            <w:tcBorders>
              <w:top w:val="nil"/>
              <w:left w:val="nil"/>
              <w:bottom w:val="single" w:sz="4" w:space="0" w:color="auto"/>
              <w:right w:val="single" w:sz="4" w:space="0" w:color="auto"/>
            </w:tcBorders>
            <w:shd w:val="clear" w:color="auto" w:fill="auto"/>
            <w:vAlign w:val="center"/>
            <w:hideMark/>
          </w:tcPr>
          <w:p w14:paraId="7AB533DD" w14:textId="77777777" w:rsidR="008D2DC8" w:rsidRPr="00267429" w:rsidRDefault="008D2DC8"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7.875</w:t>
            </w:r>
          </w:p>
        </w:tc>
      </w:tr>
      <w:tr w:rsidR="00D51209" w:rsidRPr="00267429" w14:paraId="6A44E21A" w14:textId="77777777" w:rsidTr="00EB6558">
        <w:trPr>
          <w:trHeight w:val="399"/>
          <w:jc w:val="center"/>
        </w:trPr>
        <w:tc>
          <w:tcPr>
            <w:tcW w:w="1602" w:type="dxa"/>
            <w:tcBorders>
              <w:top w:val="nil"/>
              <w:left w:val="single" w:sz="4" w:space="0" w:color="auto"/>
              <w:bottom w:val="single" w:sz="4" w:space="0" w:color="auto"/>
              <w:right w:val="single" w:sz="4" w:space="0" w:color="auto"/>
            </w:tcBorders>
            <w:shd w:val="clear" w:color="auto" w:fill="auto"/>
            <w:vAlign w:val="center"/>
          </w:tcPr>
          <w:p w14:paraId="7C18EB89" w14:textId="689F5DF0"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BANAMEX</w:t>
            </w:r>
          </w:p>
        </w:tc>
        <w:tc>
          <w:tcPr>
            <w:tcW w:w="1594" w:type="dxa"/>
            <w:tcBorders>
              <w:top w:val="nil"/>
              <w:left w:val="nil"/>
              <w:bottom w:val="single" w:sz="4" w:space="0" w:color="auto"/>
              <w:right w:val="single" w:sz="4" w:space="0" w:color="auto"/>
            </w:tcBorders>
            <w:shd w:val="clear" w:color="auto" w:fill="auto"/>
            <w:vAlign w:val="center"/>
          </w:tcPr>
          <w:p w14:paraId="6310D36B" w14:textId="44E3B29A" w:rsidR="00D51209" w:rsidRPr="00267429" w:rsidRDefault="00D51209"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PARTICIPACIONES FEDERALES</w:t>
            </w:r>
          </w:p>
        </w:tc>
        <w:tc>
          <w:tcPr>
            <w:tcW w:w="1434" w:type="dxa"/>
            <w:tcBorders>
              <w:top w:val="nil"/>
              <w:left w:val="nil"/>
              <w:bottom w:val="single" w:sz="4" w:space="0" w:color="auto"/>
              <w:right w:val="single" w:sz="4" w:space="0" w:color="auto"/>
            </w:tcBorders>
            <w:shd w:val="clear" w:color="auto" w:fill="auto"/>
            <w:noWrap/>
            <w:vAlign w:val="center"/>
          </w:tcPr>
          <w:p w14:paraId="178B88F7" w14:textId="6E47A5CB"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27-nov-12</w:t>
            </w:r>
          </w:p>
        </w:tc>
        <w:tc>
          <w:tcPr>
            <w:tcW w:w="1744" w:type="dxa"/>
            <w:tcBorders>
              <w:top w:val="nil"/>
              <w:left w:val="nil"/>
              <w:bottom w:val="single" w:sz="4" w:space="0" w:color="auto"/>
              <w:right w:val="single" w:sz="4" w:space="0" w:color="auto"/>
            </w:tcBorders>
            <w:shd w:val="clear" w:color="auto" w:fill="auto"/>
            <w:vAlign w:val="center"/>
          </w:tcPr>
          <w:p w14:paraId="5F121E15" w14:textId="7DA1F3F9" w:rsidR="00D51209" w:rsidRPr="00267429" w:rsidRDefault="00267429"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1,600,000,000</w:t>
            </w:r>
          </w:p>
        </w:tc>
        <w:tc>
          <w:tcPr>
            <w:tcW w:w="1559" w:type="dxa"/>
            <w:tcBorders>
              <w:top w:val="nil"/>
              <w:left w:val="nil"/>
              <w:bottom w:val="single" w:sz="4" w:space="0" w:color="auto"/>
              <w:right w:val="single" w:sz="4" w:space="0" w:color="auto"/>
            </w:tcBorders>
            <w:shd w:val="clear" w:color="auto" w:fill="auto"/>
            <w:vAlign w:val="center"/>
          </w:tcPr>
          <w:p w14:paraId="5518E7DD" w14:textId="2A87DE40" w:rsidR="00D51209" w:rsidRPr="00267429" w:rsidRDefault="00EB6558"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1,600,000,000</w:t>
            </w:r>
          </w:p>
        </w:tc>
        <w:tc>
          <w:tcPr>
            <w:tcW w:w="1560" w:type="dxa"/>
            <w:tcBorders>
              <w:top w:val="nil"/>
              <w:left w:val="nil"/>
              <w:bottom w:val="single" w:sz="4" w:space="0" w:color="auto"/>
              <w:right w:val="single" w:sz="4" w:space="0" w:color="auto"/>
            </w:tcBorders>
            <w:shd w:val="clear" w:color="auto" w:fill="auto"/>
            <w:vAlign w:val="center"/>
          </w:tcPr>
          <w:p w14:paraId="3783FA21" w14:textId="5B94B050" w:rsidR="00D51209" w:rsidRPr="00267429" w:rsidRDefault="00D51209" w:rsidP="00267429">
            <w:pPr>
              <w:spacing w:after="0" w:line="240" w:lineRule="auto"/>
              <w:jc w:val="right"/>
              <w:rPr>
                <w:rFonts w:ascii="Arial" w:eastAsia="Times New Roman" w:hAnsi="Arial" w:cs="Arial"/>
                <w:color w:val="000000"/>
                <w:sz w:val="18"/>
                <w:lang w:eastAsia="es-MX"/>
              </w:rPr>
            </w:pPr>
            <w:r w:rsidRPr="00267429">
              <w:rPr>
                <w:rFonts w:ascii="Arial" w:eastAsia="Times New Roman" w:hAnsi="Arial" w:cs="Arial"/>
                <w:color w:val="000000"/>
                <w:sz w:val="18"/>
                <w:lang w:eastAsia="es-MX"/>
              </w:rPr>
              <w:t>1,091,025,610</w:t>
            </w:r>
          </w:p>
        </w:tc>
        <w:tc>
          <w:tcPr>
            <w:tcW w:w="992" w:type="dxa"/>
            <w:tcBorders>
              <w:top w:val="nil"/>
              <w:left w:val="nil"/>
              <w:bottom w:val="single" w:sz="4" w:space="0" w:color="auto"/>
              <w:right w:val="single" w:sz="4" w:space="0" w:color="auto"/>
            </w:tcBorders>
            <w:shd w:val="clear" w:color="auto" w:fill="auto"/>
            <w:noWrap/>
            <w:vAlign w:val="center"/>
          </w:tcPr>
          <w:p w14:paraId="5D1F8C98" w14:textId="723CD4B0"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28-nov-27</w:t>
            </w:r>
          </w:p>
        </w:tc>
        <w:tc>
          <w:tcPr>
            <w:tcW w:w="1134" w:type="dxa"/>
            <w:tcBorders>
              <w:top w:val="nil"/>
              <w:left w:val="nil"/>
              <w:bottom w:val="single" w:sz="4" w:space="0" w:color="auto"/>
              <w:right w:val="single" w:sz="4" w:space="0" w:color="auto"/>
            </w:tcBorders>
            <w:shd w:val="clear" w:color="auto" w:fill="auto"/>
            <w:noWrap/>
            <w:vAlign w:val="center"/>
          </w:tcPr>
          <w:p w14:paraId="1E617D6F" w14:textId="22B85143"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color w:val="000000"/>
                <w:sz w:val="18"/>
                <w:lang w:eastAsia="es-MX"/>
              </w:rPr>
              <w:t>TIIE + 0.72</w:t>
            </w:r>
          </w:p>
        </w:tc>
        <w:tc>
          <w:tcPr>
            <w:tcW w:w="1206" w:type="dxa"/>
            <w:tcBorders>
              <w:top w:val="nil"/>
              <w:left w:val="nil"/>
              <w:bottom w:val="single" w:sz="4" w:space="0" w:color="auto"/>
              <w:right w:val="single" w:sz="4" w:space="0" w:color="auto"/>
            </w:tcBorders>
            <w:shd w:val="clear" w:color="auto" w:fill="auto"/>
            <w:vAlign w:val="center"/>
          </w:tcPr>
          <w:p w14:paraId="1D15D97A" w14:textId="14122B6B" w:rsidR="00D51209" w:rsidRPr="00267429" w:rsidRDefault="00D51209"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4.8</w:t>
            </w:r>
          </w:p>
        </w:tc>
      </w:tr>
      <w:tr w:rsidR="00D51209" w:rsidRPr="00267429" w14:paraId="13958910" w14:textId="77777777" w:rsidTr="00EB6558">
        <w:trPr>
          <w:trHeight w:val="399"/>
          <w:jc w:val="center"/>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642647D0" w14:textId="388DBB1E"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BBVA-MÉXICO</w:t>
            </w:r>
          </w:p>
        </w:tc>
        <w:tc>
          <w:tcPr>
            <w:tcW w:w="1594" w:type="dxa"/>
            <w:tcBorders>
              <w:top w:val="nil"/>
              <w:left w:val="nil"/>
              <w:bottom w:val="single" w:sz="4" w:space="0" w:color="auto"/>
              <w:right w:val="single" w:sz="4" w:space="0" w:color="auto"/>
            </w:tcBorders>
            <w:shd w:val="clear" w:color="auto" w:fill="auto"/>
            <w:vAlign w:val="center"/>
            <w:hideMark/>
          </w:tcPr>
          <w:p w14:paraId="2B9DF3FE" w14:textId="77777777" w:rsidR="00D51209" w:rsidRPr="00267429" w:rsidRDefault="00D51209"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PARTICIPACIONES FEDERALES</w:t>
            </w:r>
          </w:p>
        </w:tc>
        <w:tc>
          <w:tcPr>
            <w:tcW w:w="1434" w:type="dxa"/>
            <w:tcBorders>
              <w:top w:val="nil"/>
              <w:left w:val="nil"/>
              <w:bottom w:val="single" w:sz="4" w:space="0" w:color="auto"/>
              <w:right w:val="single" w:sz="4" w:space="0" w:color="auto"/>
            </w:tcBorders>
            <w:shd w:val="clear" w:color="auto" w:fill="auto"/>
            <w:noWrap/>
            <w:vAlign w:val="center"/>
            <w:hideMark/>
          </w:tcPr>
          <w:p w14:paraId="65A633A8" w14:textId="77777777"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10-ene-14</w:t>
            </w:r>
          </w:p>
        </w:tc>
        <w:tc>
          <w:tcPr>
            <w:tcW w:w="1744" w:type="dxa"/>
            <w:tcBorders>
              <w:top w:val="nil"/>
              <w:left w:val="nil"/>
              <w:bottom w:val="single" w:sz="4" w:space="0" w:color="auto"/>
              <w:right w:val="single" w:sz="4" w:space="0" w:color="auto"/>
            </w:tcBorders>
            <w:shd w:val="clear" w:color="auto" w:fill="auto"/>
            <w:vAlign w:val="center"/>
            <w:hideMark/>
          </w:tcPr>
          <w:p w14:paraId="3418B2D0" w14:textId="0706D4B9" w:rsidR="00D51209" w:rsidRPr="00267429" w:rsidRDefault="00AB03AA"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 xml:space="preserve">   1,000,000,000</w:t>
            </w:r>
          </w:p>
        </w:tc>
        <w:tc>
          <w:tcPr>
            <w:tcW w:w="1559" w:type="dxa"/>
            <w:tcBorders>
              <w:top w:val="nil"/>
              <w:left w:val="nil"/>
              <w:bottom w:val="single" w:sz="4" w:space="0" w:color="auto"/>
              <w:right w:val="single" w:sz="4" w:space="0" w:color="auto"/>
            </w:tcBorders>
            <w:shd w:val="clear" w:color="auto" w:fill="auto"/>
            <w:vAlign w:val="center"/>
            <w:hideMark/>
          </w:tcPr>
          <w:p w14:paraId="329095ED" w14:textId="099B34C1" w:rsidR="00D51209" w:rsidRPr="00267429" w:rsidRDefault="00AB03AA"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1,000,000,000</w:t>
            </w:r>
            <w:r w:rsidR="00D51209" w:rsidRPr="00267429">
              <w:rPr>
                <w:rFonts w:ascii="Arial" w:eastAsia="Times New Roman" w:hAnsi="Arial" w:cs="Arial"/>
                <w:color w:val="000000"/>
                <w:sz w:val="18"/>
                <w:lang w:eastAsia="es-MX"/>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6FD4800F" w14:textId="77777777" w:rsidR="00D51209" w:rsidRPr="00267429" w:rsidRDefault="00D51209" w:rsidP="00267429">
            <w:pPr>
              <w:spacing w:after="0" w:line="240" w:lineRule="auto"/>
              <w:jc w:val="right"/>
              <w:rPr>
                <w:rFonts w:ascii="Arial" w:eastAsia="Times New Roman" w:hAnsi="Arial" w:cs="Arial"/>
                <w:color w:val="000000"/>
                <w:sz w:val="18"/>
                <w:lang w:eastAsia="es-MX"/>
              </w:rPr>
            </w:pPr>
            <w:r w:rsidRPr="00267429">
              <w:rPr>
                <w:rFonts w:ascii="Arial" w:eastAsia="Times New Roman" w:hAnsi="Arial" w:cs="Arial"/>
                <w:color w:val="000000"/>
                <w:sz w:val="18"/>
                <w:lang w:eastAsia="es-MX"/>
              </w:rPr>
              <w:t xml:space="preserve">886,244,199 </w:t>
            </w:r>
          </w:p>
        </w:tc>
        <w:tc>
          <w:tcPr>
            <w:tcW w:w="992" w:type="dxa"/>
            <w:tcBorders>
              <w:top w:val="nil"/>
              <w:left w:val="nil"/>
              <w:bottom w:val="single" w:sz="4" w:space="0" w:color="auto"/>
              <w:right w:val="single" w:sz="4" w:space="0" w:color="auto"/>
            </w:tcBorders>
            <w:shd w:val="clear" w:color="auto" w:fill="auto"/>
            <w:noWrap/>
            <w:vAlign w:val="center"/>
            <w:hideMark/>
          </w:tcPr>
          <w:p w14:paraId="4641ACEB" w14:textId="77777777"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30-ene-34</w:t>
            </w:r>
          </w:p>
        </w:tc>
        <w:tc>
          <w:tcPr>
            <w:tcW w:w="1134" w:type="dxa"/>
            <w:tcBorders>
              <w:top w:val="nil"/>
              <w:left w:val="nil"/>
              <w:bottom w:val="single" w:sz="4" w:space="0" w:color="auto"/>
              <w:right w:val="single" w:sz="4" w:space="0" w:color="auto"/>
            </w:tcBorders>
            <w:shd w:val="clear" w:color="auto" w:fill="auto"/>
            <w:noWrap/>
            <w:vAlign w:val="center"/>
            <w:hideMark/>
          </w:tcPr>
          <w:p w14:paraId="60939BBF" w14:textId="77777777"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TIIE + 0.45%</w:t>
            </w:r>
          </w:p>
        </w:tc>
        <w:tc>
          <w:tcPr>
            <w:tcW w:w="1206" w:type="dxa"/>
            <w:tcBorders>
              <w:top w:val="nil"/>
              <w:left w:val="nil"/>
              <w:bottom w:val="single" w:sz="4" w:space="0" w:color="auto"/>
              <w:right w:val="single" w:sz="4" w:space="0" w:color="auto"/>
            </w:tcBorders>
            <w:shd w:val="clear" w:color="auto" w:fill="auto"/>
            <w:vAlign w:val="center"/>
            <w:hideMark/>
          </w:tcPr>
          <w:p w14:paraId="19CAC934" w14:textId="77777777" w:rsidR="00D51209" w:rsidRPr="00267429" w:rsidRDefault="00D51209"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3</w:t>
            </w:r>
          </w:p>
        </w:tc>
      </w:tr>
      <w:tr w:rsidR="00D51209" w:rsidRPr="00267429" w14:paraId="29032310" w14:textId="77777777" w:rsidTr="00EB6558">
        <w:trPr>
          <w:trHeight w:val="554"/>
          <w:jc w:val="center"/>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6AB7F4FD" w14:textId="77777777"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BANAMEX (SJPET)</w:t>
            </w:r>
          </w:p>
        </w:tc>
        <w:tc>
          <w:tcPr>
            <w:tcW w:w="1594" w:type="dxa"/>
            <w:tcBorders>
              <w:top w:val="nil"/>
              <w:left w:val="nil"/>
              <w:bottom w:val="single" w:sz="4" w:space="0" w:color="auto"/>
              <w:right w:val="single" w:sz="4" w:space="0" w:color="auto"/>
            </w:tcBorders>
            <w:shd w:val="clear" w:color="auto" w:fill="auto"/>
            <w:vAlign w:val="center"/>
            <w:hideMark/>
          </w:tcPr>
          <w:p w14:paraId="2E3E875F" w14:textId="77777777" w:rsidR="00D51209" w:rsidRPr="00267429" w:rsidRDefault="00D51209"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PARTICIPACIONES FEDERALES</w:t>
            </w:r>
          </w:p>
        </w:tc>
        <w:tc>
          <w:tcPr>
            <w:tcW w:w="1434" w:type="dxa"/>
            <w:tcBorders>
              <w:top w:val="nil"/>
              <w:left w:val="nil"/>
              <w:bottom w:val="single" w:sz="4" w:space="0" w:color="auto"/>
              <w:right w:val="single" w:sz="4" w:space="0" w:color="auto"/>
            </w:tcBorders>
            <w:shd w:val="clear" w:color="auto" w:fill="auto"/>
            <w:noWrap/>
            <w:vAlign w:val="center"/>
            <w:hideMark/>
          </w:tcPr>
          <w:p w14:paraId="2FDC0BD9" w14:textId="77777777"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20-may-16</w:t>
            </w:r>
          </w:p>
        </w:tc>
        <w:tc>
          <w:tcPr>
            <w:tcW w:w="1744" w:type="dxa"/>
            <w:tcBorders>
              <w:top w:val="nil"/>
              <w:left w:val="nil"/>
              <w:bottom w:val="single" w:sz="4" w:space="0" w:color="auto"/>
              <w:right w:val="single" w:sz="4" w:space="0" w:color="auto"/>
            </w:tcBorders>
            <w:shd w:val="clear" w:color="auto" w:fill="auto"/>
            <w:vAlign w:val="center"/>
            <w:hideMark/>
          </w:tcPr>
          <w:p w14:paraId="27BF507C" w14:textId="31D8F11A" w:rsidR="00D51209" w:rsidRPr="00267429" w:rsidRDefault="00AB03AA"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 xml:space="preserve">      450,000,000</w:t>
            </w:r>
            <w:r w:rsidR="00D51209" w:rsidRPr="00267429">
              <w:rPr>
                <w:rFonts w:ascii="Arial" w:eastAsia="Times New Roman" w:hAnsi="Arial" w:cs="Arial"/>
                <w:color w:val="000000"/>
                <w:sz w:val="18"/>
                <w:lang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717F77EA" w14:textId="13F39FD5" w:rsidR="00D51209" w:rsidRPr="00267429" w:rsidRDefault="00AB03AA"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450,000,000</w:t>
            </w:r>
            <w:r w:rsidR="00D51209" w:rsidRPr="00267429">
              <w:rPr>
                <w:rFonts w:ascii="Arial" w:eastAsia="Times New Roman" w:hAnsi="Arial" w:cs="Arial"/>
                <w:color w:val="000000"/>
                <w:sz w:val="18"/>
                <w:lang w:eastAsia="es-MX"/>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4228482A" w14:textId="77777777" w:rsidR="00D51209" w:rsidRPr="00267429" w:rsidRDefault="00D51209" w:rsidP="00267429">
            <w:pPr>
              <w:spacing w:after="0" w:line="240" w:lineRule="auto"/>
              <w:jc w:val="right"/>
              <w:rPr>
                <w:rFonts w:ascii="Arial" w:eastAsia="Times New Roman" w:hAnsi="Arial" w:cs="Arial"/>
                <w:color w:val="000000"/>
                <w:sz w:val="18"/>
                <w:lang w:eastAsia="es-MX"/>
              </w:rPr>
            </w:pPr>
            <w:r w:rsidRPr="00267429">
              <w:rPr>
                <w:rFonts w:ascii="Arial" w:eastAsia="Times New Roman" w:hAnsi="Arial" w:cs="Arial"/>
                <w:color w:val="000000"/>
                <w:sz w:val="18"/>
                <w:lang w:eastAsia="es-MX"/>
              </w:rPr>
              <w:t xml:space="preserve">202,500,000 </w:t>
            </w:r>
          </w:p>
        </w:tc>
        <w:tc>
          <w:tcPr>
            <w:tcW w:w="992" w:type="dxa"/>
            <w:tcBorders>
              <w:top w:val="nil"/>
              <w:left w:val="nil"/>
              <w:bottom w:val="single" w:sz="4" w:space="0" w:color="auto"/>
              <w:right w:val="single" w:sz="4" w:space="0" w:color="auto"/>
            </w:tcBorders>
            <w:shd w:val="clear" w:color="auto" w:fill="auto"/>
            <w:noWrap/>
            <w:vAlign w:val="center"/>
            <w:hideMark/>
          </w:tcPr>
          <w:p w14:paraId="1E654C5A" w14:textId="77777777"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15-jun-26</w:t>
            </w:r>
          </w:p>
        </w:tc>
        <w:tc>
          <w:tcPr>
            <w:tcW w:w="1134" w:type="dxa"/>
            <w:tcBorders>
              <w:top w:val="nil"/>
              <w:left w:val="nil"/>
              <w:bottom w:val="single" w:sz="4" w:space="0" w:color="auto"/>
              <w:right w:val="single" w:sz="4" w:space="0" w:color="auto"/>
            </w:tcBorders>
            <w:shd w:val="clear" w:color="auto" w:fill="auto"/>
            <w:noWrap/>
            <w:vAlign w:val="center"/>
            <w:hideMark/>
          </w:tcPr>
          <w:p w14:paraId="2F2ECB0C" w14:textId="77777777"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Fija: 6.30%</w:t>
            </w:r>
          </w:p>
        </w:tc>
        <w:tc>
          <w:tcPr>
            <w:tcW w:w="1206" w:type="dxa"/>
            <w:tcBorders>
              <w:top w:val="nil"/>
              <w:left w:val="nil"/>
              <w:bottom w:val="single" w:sz="4" w:space="0" w:color="auto"/>
              <w:right w:val="single" w:sz="4" w:space="0" w:color="auto"/>
            </w:tcBorders>
            <w:shd w:val="clear" w:color="auto" w:fill="auto"/>
            <w:vAlign w:val="center"/>
            <w:hideMark/>
          </w:tcPr>
          <w:p w14:paraId="31306799" w14:textId="77777777" w:rsidR="00D51209" w:rsidRPr="00267429" w:rsidRDefault="00D51209"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1.83</w:t>
            </w:r>
          </w:p>
        </w:tc>
      </w:tr>
      <w:tr w:rsidR="00D51209" w:rsidRPr="00267429" w14:paraId="6617A0C3" w14:textId="77777777" w:rsidTr="00EB6558">
        <w:trPr>
          <w:trHeight w:val="647"/>
          <w:jc w:val="center"/>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7864E56A" w14:textId="77777777"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SCOTIABANK-INVERLAT</w:t>
            </w:r>
          </w:p>
        </w:tc>
        <w:tc>
          <w:tcPr>
            <w:tcW w:w="1594" w:type="dxa"/>
            <w:tcBorders>
              <w:top w:val="nil"/>
              <w:left w:val="nil"/>
              <w:bottom w:val="single" w:sz="4" w:space="0" w:color="auto"/>
              <w:right w:val="single" w:sz="4" w:space="0" w:color="auto"/>
            </w:tcBorders>
            <w:shd w:val="clear" w:color="auto" w:fill="auto"/>
            <w:vAlign w:val="center"/>
            <w:hideMark/>
          </w:tcPr>
          <w:p w14:paraId="51C21416" w14:textId="77777777" w:rsidR="00D51209" w:rsidRPr="00267429" w:rsidRDefault="00D51209"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PARTICIPACIONES FEDERALES</w:t>
            </w:r>
          </w:p>
        </w:tc>
        <w:tc>
          <w:tcPr>
            <w:tcW w:w="1434" w:type="dxa"/>
            <w:tcBorders>
              <w:top w:val="nil"/>
              <w:left w:val="nil"/>
              <w:bottom w:val="single" w:sz="4" w:space="0" w:color="auto"/>
              <w:right w:val="single" w:sz="4" w:space="0" w:color="auto"/>
            </w:tcBorders>
            <w:shd w:val="clear" w:color="auto" w:fill="auto"/>
            <w:noWrap/>
            <w:vAlign w:val="center"/>
            <w:hideMark/>
          </w:tcPr>
          <w:p w14:paraId="1D895E25" w14:textId="77777777"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28-abr-17</w:t>
            </w:r>
          </w:p>
        </w:tc>
        <w:tc>
          <w:tcPr>
            <w:tcW w:w="1744" w:type="dxa"/>
            <w:tcBorders>
              <w:top w:val="nil"/>
              <w:left w:val="nil"/>
              <w:bottom w:val="single" w:sz="4" w:space="0" w:color="auto"/>
              <w:right w:val="single" w:sz="4" w:space="0" w:color="auto"/>
            </w:tcBorders>
            <w:shd w:val="clear" w:color="auto" w:fill="auto"/>
            <w:vAlign w:val="center"/>
            <w:hideMark/>
          </w:tcPr>
          <w:p w14:paraId="39ED763A" w14:textId="4C5B4AD3" w:rsidR="00D51209" w:rsidRPr="00267429" w:rsidRDefault="004761B1"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 xml:space="preserve">      700,000,000</w:t>
            </w:r>
            <w:r w:rsidR="00D51209" w:rsidRPr="00267429">
              <w:rPr>
                <w:rFonts w:ascii="Arial" w:eastAsia="Times New Roman" w:hAnsi="Arial" w:cs="Arial"/>
                <w:color w:val="000000"/>
                <w:sz w:val="18"/>
                <w:lang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65DD5F2B" w14:textId="25E246A7" w:rsidR="00D51209" w:rsidRPr="00267429" w:rsidRDefault="004761B1"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700,000,000</w:t>
            </w:r>
          </w:p>
        </w:tc>
        <w:tc>
          <w:tcPr>
            <w:tcW w:w="1560" w:type="dxa"/>
            <w:tcBorders>
              <w:top w:val="nil"/>
              <w:left w:val="nil"/>
              <w:bottom w:val="single" w:sz="4" w:space="0" w:color="auto"/>
              <w:right w:val="single" w:sz="4" w:space="0" w:color="auto"/>
            </w:tcBorders>
            <w:shd w:val="clear" w:color="auto" w:fill="auto"/>
            <w:vAlign w:val="center"/>
            <w:hideMark/>
          </w:tcPr>
          <w:p w14:paraId="7898D520" w14:textId="77777777" w:rsidR="00D51209" w:rsidRPr="00267429" w:rsidRDefault="00D51209" w:rsidP="00267429">
            <w:pPr>
              <w:spacing w:after="0" w:line="240" w:lineRule="auto"/>
              <w:jc w:val="right"/>
              <w:rPr>
                <w:rFonts w:ascii="Arial" w:eastAsia="Times New Roman" w:hAnsi="Arial" w:cs="Arial"/>
                <w:color w:val="000000"/>
                <w:sz w:val="18"/>
                <w:lang w:eastAsia="es-MX"/>
              </w:rPr>
            </w:pPr>
            <w:r w:rsidRPr="00267429">
              <w:rPr>
                <w:rFonts w:ascii="Arial" w:eastAsia="Times New Roman" w:hAnsi="Arial" w:cs="Arial"/>
                <w:color w:val="000000"/>
                <w:sz w:val="18"/>
                <w:lang w:eastAsia="es-MX"/>
              </w:rPr>
              <w:t xml:space="preserve">379,661,017 </w:t>
            </w:r>
          </w:p>
        </w:tc>
        <w:tc>
          <w:tcPr>
            <w:tcW w:w="992" w:type="dxa"/>
            <w:tcBorders>
              <w:top w:val="nil"/>
              <w:left w:val="nil"/>
              <w:bottom w:val="single" w:sz="4" w:space="0" w:color="auto"/>
              <w:right w:val="single" w:sz="4" w:space="0" w:color="auto"/>
            </w:tcBorders>
            <w:shd w:val="clear" w:color="auto" w:fill="auto"/>
            <w:noWrap/>
            <w:vAlign w:val="center"/>
            <w:hideMark/>
          </w:tcPr>
          <w:p w14:paraId="1A352B08" w14:textId="77777777"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28-abr-27</w:t>
            </w:r>
          </w:p>
        </w:tc>
        <w:tc>
          <w:tcPr>
            <w:tcW w:w="1134" w:type="dxa"/>
            <w:tcBorders>
              <w:top w:val="nil"/>
              <w:left w:val="nil"/>
              <w:bottom w:val="single" w:sz="4" w:space="0" w:color="auto"/>
              <w:right w:val="single" w:sz="4" w:space="0" w:color="auto"/>
            </w:tcBorders>
            <w:shd w:val="clear" w:color="auto" w:fill="auto"/>
            <w:noWrap/>
            <w:vAlign w:val="center"/>
            <w:hideMark/>
          </w:tcPr>
          <w:p w14:paraId="04C095DF" w14:textId="77777777"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Fija: 8.99%</w:t>
            </w:r>
          </w:p>
        </w:tc>
        <w:tc>
          <w:tcPr>
            <w:tcW w:w="1206" w:type="dxa"/>
            <w:tcBorders>
              <w:top w:val="nil"/>
              <w:left w:val="nil"/>
              <w:bottom w:val="single" w:sz="4" w:space="0" w:color="auto"/>
              <w:right w:val="single" w:sz="4" w:space="0" w:color="auto"/>
            </w:tcBorders>
            <w:shd w:val="clear" w:color="auto" w:fill="auto"/>
            <w:vAlign w:val="center"/>
            <w:hideMark/>
          </w:tcPr>
          <w:p w14:paraId="6B4235D2" w14:textId="77777777" w:rsidR="00D51209" w:rsidRPr="00267429" w:rsidRDefault="00D51209"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1.5</w:t>
            </w:r>
          </w:p>
        </w:tc>
      </w:tr>
      <w:tr w:rsidR="00D51209" w:rsidRPr="00267429" w14:paraId="11EC09F8" w14:textId="77777777" w:rsidTr="00EB6558">
        <w:trPr>
          <w:trHeight w:val="1414"/>
          <w:jc w:val="center"/>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337F5333" w14:textId="77777777"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BANOBRAS (FONREC)</w:t>
            </w:r>
          </w:p>
        </w:tc>
        <w:tc>
          <w:tcPr>
            <w:tcW w:w="1594" w:type="dxa"/>
            <w:tcBorders>
              <w:top w:val="nil"/>
              <w:left w:val="nil"/>
              <w:bottom w:val="single" w:sz="4" w:space="0" w:color="auto"/>
              <w:right w:val="single" w:sz="4" w:space="0" w:color="auto"/>
            </w:tcBorders>
            <w:shd w:val="clear" w:color="auto" w:fill="auto"/>
            <w:vAlign w:val="center"/>
            <w:hideMark/>
          </w:tcPr>
          <w:p w14:paraId="36A796C2" w14:textId="77777777" w:rsidR="00D51209" w:rsidRPr="00267429" w:rsidRDefault="00D51209"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(CAPITAL = BONO CUPON CERO)(INTERES= PARTICIPACIONES FEDERALES)</w:t>
            </w:r>
          </w:p>
        </w:tc>
        <w:tc>
          <w:tcPr>
            <w:tcW w:w="1434" w:type="dxa"/>
            <w:tcBorders>
              <w:top w:val="nil"/>
              <w:left w:val="nil"/>
              <w:bottom w:val="single" w:sz="4" w:space="0" w:color="auto"/>
              <w:right w:val="single" w:sz="4" w:space="0" w:color="auto"/>
            </w:tcBorders>
            <w:shd w:val="clear" w:color="auto" w:fill="auto"/>
            <w:noWrap/>
            <w:vAlign w:val="center"/>
            <w:hideMark/>
          </w:tcPr>
          <w:p w14:paraId="564F520A" w14:textId="77777777"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24-jun-11</w:t>
            </w:r>
          </w:p>
        </w:tc>
        <w:tc>
          <w:tcPr>
            <w:tcW w:w="1744" w:type="dxa"/>
            <w:tcBorders>
              <w:top w:val="nil"/>
              <w:left w:val="nil"/>
              <w:bottom w:val="single" w:sz="4" w:space="0" w:color="auto"/>
              <w:right w:val="single" w:sz="4" w:space="0" w:color="auto"/>
            </w:tcBorders>
            <w:shd w:val="clear" w:color="auto" w:fill="auto"/>
            <w:vAlign w:val="center"/>
            <w:hideMark/>
          </w:tcPr>
          <w:p w14:paraId="3C0B2100" w14:textId="23A88279" w:rsidR="00D51209" w:rsidRPr="00267429" w:rsidRDefault="004761B1"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1,434,406,226</w:t>
            </w:r>
          </w:p>
        </w:tc>
        <w:tc>
          <w:tcPr>
            <w:tcW w:w="1559" w:type="dxa"/>
            <w:tcBorders>
              <w:top w:val="nil"/>
              <w:left w:val="nil"/>
              <w:bottom w:val="single" w:sz="4" w:space="0" w:color="auto"/>
              <w:right w:val="single" w:sz="4" w:space="0" w:color="auto"/>
            </w:tcBorders>
            <w:shd w:val="clear" w:color="auto" w:fill="auto"/>
            <w:vAlign w:val="center"/>
            <w:hideMark/>
          </w:tcPr>
          <w:p w14:paraId="11FDCEE6" w14:textId="1B96B8A1" w:rsidR="00D51209" w:rsidRPr="00267429" w:rsidRDefault="009F0FFD"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1</w:t>
            </w:r>
            <w:r w:rsidR="004761B1" w:rsidRPr="00267429">
              <w:rPr>
                <w:rFonts w:ascii="Arial" w:eastAsia="Times New Roman" w:hAnsi="Arial" w:cs="Arial"/>
                <w:color w:val="000000"/>
                <w:sz w:val="18"/>
                <w:lang w:eastAsia="es-MX"/>
              </w:rPr>
              <w:t>,319,430,177</w:t>
            </w:r>
          </w:p>
        </w:tc>
        <w:tc>
          <w:tcPr>
            <w:tcW w:w="1560" w:type="dxa"/>
            <w:tcBorders>
              <w:top w:val="nil"/>
              <w:left w:val="nil"/>
              <w:bottom w:val="single" w:sz="4" w:space="0" w:color="auto"/>
              <w:right w:val="single" w:sz="4" w:space="0" w:color="auto"/>
            </w:tcBorders>
            <w:shd w:val="clear" w:color="auto" w:fill="auto"/>
            <w:vAlign w:val="center"/>
            <w:hideMark/>
          </w:tcPr>
          <w:p w14:paraId="50F7157C" w14:textId="77777777" w:rsidR="00D51209" w:rsidRPr="00267429" w:rsidRDefault="00D51209" w:rsidP="00267429">
            <w:pPr>
              <w:spacing w:after="0" w:line="240" w:lineRule="auto"/>
              <w:jc w:val="right"/>
              <w:rPr>
                <w:rFonts w:ascii="Arial" w:eastAsia="Times New Roman" w:hAnsi="Arial" w:cs="Arial"/>
                <w:color w:val="000000"/>
                <w:sz w:val="18"/>
                <w:lang w:eastAsia="es-MX"/>
              </w:rPr>
            </w:pPr>
            <w:r w:rsidRPr="00267429">
              <w:rPr>
                <w:rFonts w:ascii="Arial" w:eastAsia="Times New Roman" w:hAnsi="Arial" w:cs="Arial"/>
                <w:color w:val="000000"/>
                <w:sz w:val="18"/>
                <w:lang w:eastAsia="es-MX"/>
              </w:rPr>
              <w:t xml:space="preserve">1,319,430,177 </w:t>
            </w:r>
          </w:p>
        </w:tc>
        <w:tc>
          <w:tcPr>
            <w:tcW w:w="992" w:type="dxa"/>
            <w:tcBorders>
              <w:top w:val="nil"/>
              <w:left w:val="nil"/>
              <w:bottom w:val="single" w:sz="4" w:space="0" w:color="auto"/>
              <w:right w:val="single" w:sz="4" w:space="0" w:color="auto"/>
            </w:tcBorders>
            <w:shd w:val="clear" w:color="auto" w:fill="auto"/>
            <w:noWrap/>
            <w:vAlign w:val="center"/>
            <w:hideMark/>
          </w:tcPr>
          <w:p w14:paraId="32001E46" w14:textId="77777777"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11-jul-31</w:t>
            </w:r>
          </w:p>
        </w:tc>
        <w:tc>
          <w:tcPr>
            <w:tcW w:w="1134" w:type="dxa"/>
            <w:tcBorders>
              <w:top w:val="nil"/>
              <w:left w:val="nil"/>
              <w:bottom w:val="single" w:sz="4" w:space="0" w:color="auto"/>
              <w:right w:val="single" w:sz="4" w:space="0" w:color="auto"/>
            </w:tcBorders>
            <w:shd w:val="clear" w:color="auto" w:fill="auto"/>
            <w:vAlign w:val="center"/>
            <w:hideMark/>
          </w:tcPr>
          <w:p w14:paraId="4996304E" w14:textId="77777777"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Tasa Base: 8.00% sobretasa  0.82 Tasa de interés 8.82%</w:t>
            </w:r>
          </w:p>
        </w:tc>
        <w:tc>
          <w:tcPr>
            <w:tcW w:w="1206" w:type="dxa"/>
            <w:tcBorders>
              <w:top w:val="nil"/>
              <w:left w:val="nil"/>
              <w:bottom w:val="single" w:sz="4" w:space="0" w:color="auto"/>
              <w:right w:val="single" w:sz="4" w:space="0" w:color="auto"/>
            </w:tcBorders>
            <w:shd w:val="clear" w:color="auto" w:fill="auto"/>
            <w:vAlign w:val="center"/>
            <w:hideMark/>
          </w:tcPr>
          <w:p w14:paraId="21C8081D" w14:textId="77777777" w:rsidR="00D51209" w:rsidRPr="00267429" w:rsidRDefault="00D51209"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3.3</w:t>
            </w:r>
          </w:p>
        </w:tc>
      </w:tr>
      <w:tr w:rsidR="00D51209" w:rsidRPr="00267429" w14:paraId="0EAAD806" w14:textId="77777777" w:rsidTr="00EB6558">
        <w:trPr>
          <w:trHeight w:val="975"/>
          <w:jc w:val="center"/>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274722DF" w14:textId="77777777"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BANOBRAS (PROFISE)</w:t>
            </w:r>
          </w:p>
        </w:tc>
        <w:tc>
          <w:tcPr>
            <w:tcW w:w="1594" w:type="dxa"/>
            <w:tcBorders>
              <w:top w:val="nil"/>
              <w:left w:val="nil"/>
              <w:bottom w:val="single" w:sz="4" w:space="0" w:color="auto"/>
              <w:right w:val="single" w:sz="4" w:space="0" w:color="auto"/>
            </w:tcBorders>
            <w:shd w:val="clear" w:color="auto" w:fill="auto"/>
            <w:vAlign w:val="center"/>
            <w:hideMark/>
          </w:tcPr>
          <w:p w14:paraId="6F118C31" w14:textId="77777777" w:rsidR="00D51209" w:rsidRPr="00267429" w:rsidRDefault="00D51209"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(CAPITAL = BONO CUPON CERO)(INTERES= PARTICIPACIONES FEDERALES)</w:t>
            </w:r>
          </w:p>
        </w:tc>
        <w:tc>
          <w:tcPr>
            <w:tcW w:w="1434" w:type="dxa"/>
            <w:tcBorders>
              <w:top w:val="nil"/>
              <w:left w:val="nil"/>
              <w:bottom w:val="single" w:sz="4" w:space="0" w:color="auto"/>
              <w:right w:val="single" w:sz="4" w:space="0" w:color="auto"/>
            </w:tcBorders>
            <w:shd w:val="clear" w:color="auto" w:fill="auto"/>
            <w:noWrap/>
            <w:vAlign w:val="center"/>
            <w:hideMark/>
          </w:tcPr>
          <w:p w14:paraId="0F3C2313" w14:textId="77777777"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07-dic-12</w:t>
            </w:r>
          </w:p>
        </w:tc>
        <w:tc>
          <w:tcPr>
            <w:tcW w:w="1744" w:type="dxa"/>
            <w:tcBorders>
              <w:top w:val="nil"/>
              <w:left w:val="nil"/>
              <w:bottom w:val="single" w:sz="4" w:space="0" w:color="auto"/>
              <w:right w:val="single" w:sz="4" w:space="0" w:color="auto"/>
            </w:tcBorders>
            <w:shd w:val="clear" w:color="auto" w:fill="auto"/>
            <w:vAlign w:val="center"/>
            <w:hideMark/>
          </w:tcPr>
          <w:p w14:paraId="111A3957" w14:textId="7130A4B9" w:rsidR="00D51209" w:rsidRPr="00267429" w:rsidRDefault="004761B1"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 xml:space="preserve">      856,000,000</w:t>
            </w:r>
            <w:r w:rsidR="00D51209" w:rsidRPr="00267429">
              <w:rPr>
                <w:rFonts w:ascii="Arial" w:eastAsia="Times New Roman" w:hAnsi="Arial" w:cs="Arial"/>
                <w:color w:val="000000"/>
                <w:sz w:val="18"/>
                <w:lang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616833E" w14:textId="264C71D1" w:rsidR="00D51209" w:rsidRPr="00267429" w:rsidRDefault="004761B1"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659,693,178</w:t>
            </w:r>
          </w:p>
        </w:tc>
        <w:tc>
          <w:tcPr>
            <w:tcW w:w="1560" w:type="dxa"/>
            <w:tcBorders>
              <w:top w:val="nil"/>
              <w:left w:val="nil"/>
              <w:bottom w:val="single" w:sz="4" w:space="0" w:color="auto"/>
              <w:right w:val="single" w:sz="4" w:space="0" w:color="auto"/>
            </w:tcBorders>
            <w:shd w:val="clear" w:color="auto" w:fill="auto"/>
            <w:vAlign w:val="center"/>
            <w:hideMark/>
          </w:tcPr>
          <w:p w14:paraId="18B5A3B0" w14:textId="77777777" w:rsidR="00D51209" w:rsidRPr="00267429" w:rsidRDefault="00D51209" w:rsidP="00267429">
            <w:pPr>
              <w:spacing w:after="0" w:line="240" w:lineRule="auto"/>
              <w:jc w:val="right"/>
              <w:rPr>
                <w:rFonts w:ascii="Arial" w:eastAsia="Times New Roman" w:hAnsi="Arial" w:cs="Arial"/>
                <w:color w:val="000000"/>
                <w:sz w:val="18"/>
                <w:lang w:eastAsia="es-MX"/>
              </w:rPr>
            </w:pPr>
            <w:r w:rsidRPr="00267429">
              <w:rPr>
                <w:rFonts w:ascii="Arial" w:eastAsia="Times New Roman" w:hAnsi="Arial" w:cs="Arial"/>
                <w:color w:val="000000"/>
                <w:sz w:val="18"/>
                <w:lang w:eastAsia="es-MX"/>
              </w:rPr>
              <w:t xml:space="preserve">659,693,178 </w:t>
            </w:r>
          </w:p>
        </w:tc>
        <w:tc>
          <w:tcPr>
            <w:tcW w:w="992" w:type="dxa"/>
            <w:tcBorders>
              <w:top w:val="nil"/>
              <w:left w:val="nil"/>
              <w:bottom w:val="single" w:sz="4" w:space="0" w:color="auto"/>
              <w:right w:val="single" w:sz="4" w:space="0" w:color="auto"/>
            </w:tcBorders>
            <w:shd w:val="clear" w:color="auto" w:fill="auto"/>
            <w:noWrap/>
            <w:vAlign w:val="center"/>
            <w:hideMark/>
          </w:tcPr>
          <w:p w14:paraId="0B555954" w14:textId="77777777"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20-dic-32</w:t>
            </w:r>
          </w:p>
        </w:tc>
        <w:tc>
          <w:tcPr>
            <w:tcW w:w="1134" w:type="dxa"/>
            <w:tcBorders>
              <w:top w:val="nil"/>
              <w:left w:val="nil"/>
              <w:bottom w:val="single" w:sz="4" w:space="0" w:color="auto"/>
              <w:right w:val="single" w:sz="4" w:space="0" w:color="auto"/>
            </w:tcBorders>
            <w:shd w:val="clear" w:color="auto" w:fill="auto"/>
            <w:vAlign w:val="center"/>
            <w:hideMark/>
          </w:tcPr>
          <w:p w14:paraId="64509C71" w14:textId="77777777"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Tasa base: 7.00%    sobre tasa: 1.07    Tasa de interés: 8.07%</w:t>
            </w:r>
          </w:p>
        </w:tc>
        <w:tc>
          <w:tcPr>
            <w:tcW w:w="1206" w:type="dxa"/>
            <w:tcBorders>
              <w:top w:val="nil"/>
              <w:left w:val="nil"/>
              <w:bottom w:val="single" w:sz="4" w:space="0" w:color="auto"/>
              <w:right w:val="single" w:sz="4" w:space="0" w:color="auto"/>
            </w:tcBorders>
            <w:shd w:val="clear" w:color="auto" w:fill="auto"/>
            <w:vAlign w:val="center"/>
            <w:hideMark/>
          </w:tcPr>
          <w:p w14:paraId="038E8C59" w14:textId="77777777" w:rsidR="00D51209" w:rsidRPr="00267429" w:rsidRDefault="00D51209"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2</w:t>
            </w:r>
          </w:p>
        </w:tc>
      </w:tr>
      <w:tr w:rsidR="00D51209" w:rsidRPr="00267429" w14:paraId="57DF109C" w14:textId="77777777" w:rsidTr="00EB6558">
        <w:trPr>
          <w:trHeight w:val="288"/>
          <w:jc w:val="center"/>
        </w:trPr>
        <w:tc>
          <w:tcPr>
            <w:tcW w:w="1602" w:type="dxa"/>
            <w:tcBorders>
              <w:top w:val="nil"/>
              <w:left w:val="single" w:sz="4" w:space="0" w:color="auto"/>
              <w:bottom w:val="single" w:sz="4" w:space="0" w:color="auto"/>
              <w:right w:val="single" w:sz="4" w:space="0" w:color="auto"/>
            </w:tcBorders>
            <w:shd w:val="clear" w:color="000000" w:fill="C00000"/>
            <w:vAlign w:val="center"/>
            <w:hideMark/>
          </w:tcPr>
          <w:p w14:paraId="4B2E1FAB" w14:textId="29C97277" w:rsidR="00D51209" w:rsidRPr="00267429" w:rsidRDefault="00D51209" w:rsidP="00267429">
            <w:pPr>
              <w:spacing w:after="0" w:line="240" w:lineRule="auto"/>
              <w:rPr>
                <w:rFonts w:ascii="Arial" w:eastAsia="Times New Roman" w:hAnsi="Arial" w:cs="Arial"/>
                <w:b/>
                <w:bCs/>
                <w:color w:val="000000"/>
                <w:sz w:val="18"/>
                <w:lang w:eastAsia="es-MX"/>
              </w:rPr>
            </w:pPr>
          </w:p>
        </w:tc>
        <w:tc>
          <w:tcPr>
            <w:tcW w:w="1594" w:type="dxa"/>
            <w:tcBorders>
              <w:top w:val="nil"/>
              <w:left w:val="nil"/>
              <w:bottom w:val="single" w:sz="4" w:space="0" w:color="auto"/>
              <w:right w:val="single" w:sz="4" w:space="0" w:color="auto"/>
            </w:tcBorders>
            <w:shd w:val="clear" w:color="000000" w:fill="C00000"/>
            <w:vAlign w:val="center"/>
            <w:hideMark/>
          </w:tcPr>
          <w:p w14:paraId="4381B385" w14:textId="77777777" w:rsidR="00D51209" w:rsidRPr="00267429" w:rsidRDefault="00D51209" w:rsidP="00267429">
            <w:pPr>
              <w:spacing w:after="0" w:line="240" w:lineRule="auto"/>
              <w:rPr>
                <w:rFonts w:ascii="Arial" w:eastAsia="Times New Roman" w:hAnsi="Arial" w:cs="Arial"/>
                <w:b/>
                <w:bCs/>
                <w:color w:val="000000"/>
                <w:sz w:val="18"/>
                <w:lang w:eastAsia="es-MX"/>
              </w:rPr>
            </w:pPr>
            <w:r w:rsidRPr="00267429">
              <w:rPr>
                <w:rFonts w:ascii="Arial" w:eastAsia="Times New Roman" w:hAnsi="Arial" w:cs="Arial"/>
                <w:b/>
                <w:bCs/>
                <w:color w:val="000000"/>
                <w:sz w:val="18"/>
                <w:lang w:eastAsia="es-MX"/>
              </w:rPr>
              <w:t> </w:t>
            </w:r>
          </w:p>
        </w:tc>
        <w:tc>
          <w:tcPr>
            <w:tcW w:w="1434" w:type="dxa"/>
            <w:tcBorders>
              <w:top w:val="nil"/>
              <w:left w:val="nil"/>
              <w:bottom w:val="single" w:sz="4" w:space="0" w:color="auto"/>
              <w:right w:val="single" w:sz="4" w:space="0" w:color="auto"/>
            </w:tcBorders>
            <w:shd w:val="clear" w:color="000000" w:fill="C00000"/>
            <w:noWrap/>
            <w:vAlign w:val="center"/>
            <w:hideMark/>
          </w:tcPr>
          <w:p w14:paraId="61D0CB55" w14:textId="77777777"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 </w:t>
            </w:r>
          </w:p>
        </w:tc>
        <w:tc>
          <w:tcPr>
            <w:tcW w:w="1744" w:type="dxa"/>
            <w:tcBorders>
              <w:top w:val="nil"/>
              <w:left w:val="nil"/>
              <w:bottom w:val="single" w:sz="4" w:space="0" w:color="auto"/>
              <w:right w:val="single" w:sz="4" w:space="0" w:color="auto"/>
            </w:tcBorders>
            <w:shd w:val="clear" w:color="000000" w:fill="C00000"/>
            <w:vAlign w:val="center"/>
            <w:hideMark/>
          </w:tcPr>
          <w:p w14:paraId="221569CD" w14:textId="77777777" w:rsidR="00D51209" w:rsidRPr="00267429" w:rsidRDefault="00D51209" w:rsidP="00267429">
            <w:pPr>
              <w:spacing w:after="0" w:line="240" w:lineRule="auto"/>
              <w:rPr>
                <w:rFonts w:ascii="Arial" w:eastAsia="Times New Roman" w:hAnsi="Arial" w:cs="Arial"/>
                <w:b/>
                <w:bCs/>
                <w:color w:val="000000"/>
                <w:sz w:val="18"/>
                <w:lang w:eastAsia="es-MX"/>
              </w:rPr>
            </w:pPr>
            <w:r w:rsidRPr="00267429">
              <w:rPr>
                <w:rFonts w:ascii="Arial" w:eastAsia="Times New Roman" w:hAnsi="Arial" w:cs="Arial"/>
                <w:b/>
                <w:bCs/>
                <w:color w:val="000000"/>
                <w:sz w:val="18"/>
                <w:lang w:eastAsia="es-MX"/>
              </w:rPr>
              <w:t> </w:t>
            </w:r>
          </w:p>
        </w:tc>
        <w:tc>
          <w:tcPr>
            <w:tcW w:w="1559" w:type="dxa"/>
            <w:tcBorders>
              <w:top w:val="nil"/>
              <w:left w:val="nil"/>
              <w:bottom w:val="single" w:sz="4" w:space="0" w:color="auto"/>
              <w:right w:val="single" w:sz="4" w:space="0" w:color="auto"/>
            </w:tcBorders>
            <w:shd w:val="clear" w:color="000000" w:fill="C00000"/>
            <w:vAlign w:val="center"/>
            <w:hideMark/>
          </w:tcPr>
          <w:p w14:paraId="2A88A2DC" w14:textId="77777777" w:rsidR="00D51209" w:rsidRPr="00267429" w:rsidRDefault="00D51209" w:rsidP="00267429">
            <w:pPr>
              <w:spacing w:after="0" w:line="240" w:lineRule="auto"/>
              <w:rPr>
                <w:rFonts w:ascii="Arial" w:eastAsia="Times New Roman" w:hAnsi="Arial" w:cs="Arial"/>
                <w:b/>
                <w:bCs/>
                <w:color w:val="000000"/>
                <w:sz w:val="18"/>
                <w:lang w:eastAsia="es-MX"/>
              </w:rPr>
            </w:pPr>
            <w:r w:rsidRPr="00267429">
              <w:rPr>
                <w:rFonts w:ascii="Arial" w:eastAsia="Times New Roman" w:hAnsi="Arial" w:cs="Arial"/>
                <w:b/>
                <w:bCs/>
                <w:color w:val="000000"/>
                <w:sz w:val="18"/>
                <w:lang w:eastAsia="es-MX"/>
              </w:rPr>
              <w:t> </w:t>
            </w:r>
          </w:p>
        </w:tc>
        <w:tc>
          <w:tcPr>
            <w:tcW w:w="1560" w:type="dxa"/>
            <w:tcBorders>
              <w:top w:val="nil"/>
              <w:left w:val="nil"/>
              <w:bottom w:val="single" w:sz="4" w:space="0" w:color="auto"/>
              <w:right w:val="single" w:sz="4" w:space="0" w:color="auto"/>
            </w:tcBorders>
            <w:shd w:val="clear" w:color="000000" w:fill="C00000"/>
            <w:vAlign w:val="center"/>
            <w:hideMark/>
          </w:tcPr>
          <w:p w14:paraId="56DC8D0A" w14:textId="77777777" w:rsidR="00D51209" w:rsidRPr="00267429" w:rsidRDefault="00D51209" w:rsidP="00267429">
            <w:pPr>
              <w:spacing w:after="0" w:line="240" w:lineRule="auto"/>
              <w:rPr>
                <w:rFonts w:ascii="Arial" w:eastAsia="Times New Roman" w:hAnsi="Arial" w:cs="Arial"/>
                <w:b/>
                <w:bCs/>
                <w:color w:val="000000"/>
                <w:sz w:val="18"/>
                <w:lang w:eastAsia="es-MX"/>
              </w:rPr>
            </w:pPr>
            <w:r w:rsidRPr="00267429">
              <w:rPr>
                <w:rFonts w:ascii="Arial" w:eastAsia="Times New Roman" w:hAnsi="Arial" w:cs="Arial"/>
                <w:b/>
                <w:bCs/>
                <w:color w:val="000000"/>
                <w:sz w:val="18"/>
                <w:lang w:eastAsia="es-MX"/>
              </w:rPr>
              <w:t> </w:t>
            </w:r>
          </w:p>
        </w:tc>
        <w:tc>
          <w:tcPr>
            <w:tcW w:w="992" w:type="dxa"/>
            <w:tcBorders>
              <w:top w:val="nil"/>
              <w:left w:val="nil"/>
              <w:bottom w:val="single" w:sz="4" w:space="0" w:color="auto"/>
              <w:right w:val="single" w:sz="4" w:space="0" w:color="auto"/>
            </w:tcBorders>
            <w:shd w:val="clear" w:color="000000" w:fill="C00000"/>
            <w:noWrap/>
            <w:vAlign w:val="center"/>
            <w:hideMark/>
          </w:tcPr>
          <w:p w14:paraId="661B9E89" w14:textId="77777777"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 </w:t>
            </w:r>
          </w:p>
        </w:tc>
        <w:tc>
          <w:tcPr>
            <w:tcW w:w="1134" w:type="dxa"/>
            <w:tcBorders>
              <w:top w:val="nil"/>
              <w:left w:val="nil"/>
              <w:bottom w:val="single" w:sz="4" w:space="0" w:color="auto"/>
              <w:right w:val="single" w:sz="4" w:space="0" w:color="auto"/>
            </w:tcBorders>
            <w:shd w:val="clear" w:color="000000" w:fill="C00000"/>
            <w:noWrap/>
            <w:vAlign w:val="center"/>
            <w:hideMark/>
          </w:tcPr>
          <w:p w14:paraId="4C9DC8CF" w14:textId="77777777" w:rsidR="00D51209" w:rsidRPr="00267429" w:rsidRDefault="00D51209" w:rsidP="00267429">
            <w:pPr>
              <w:spacing w:after="0" w:line="240" w:lineRule="auto"/>
              <w:rPr>
                <w:rFonts w:ascii="Arial" w:eastAsia="Times New Roman" w:hAnsi="Arial" w:cs="Arial"/>
                <w:sz w:val="18"/>
                <w:lang w:eastAsia="es-MX"/>
              </w:rPr>
            </w:pPr>
            <w:r w:rsidRPr="00267429">
              <w:rPr>
                <w:rFonts w:ascii="Arial" w:eastAsia="Times New Roman" w:hAnsi="Arial" w:cs="Arial"/>
                <w:sz w:val="18"/>
                <w:lang w:eastAsia="es-MX"/>
              </w:rPr>
              <w:t> </w:t>
            </w:r>
          </w:p>
        </w:tc>
        <w:tc>
          <w:tcPr>
            <w:tcW w:w="1206" w:type="dxa"/>
            <w:tcBorders>
              <w:top w:val="nil"/>
              <w:left w:val="nil"/>
              <w:bottom w:val="single" w:sz="4" w:space="0" w:color="auto"/>
              <w:right w:val="single" w:sz="4" w:space="0" w:color="auto"/>
            </w:tcBorders>
            <w:shd w:val="clear" w:color="000000" w:fill="C00000"/>
            <w:vAlign w:val="center"/>
            <w:hideMark/>
          </w:tcPr>
          <w:p w14:paraId="5C2D7B46" w14:textId="77777777" w:rsidR="00D51209" w:rsidRPr="00267429" w:rsidRDefault="00D51209" w:rsidP="00267429">
            <w:pPr>
              <w:spacing w:after="0" w:line="240" w:lineRule="auto"/>
              <w:rPr>
                <w:rFonts w:ascii="Arial" w:eastAsia="Times New Roman" w:hAnsi="Arial" w:cs="Arial"/>
                <w:color w:val="000000"/>
                <w:sz w:val="18"/>
                <w:lang w:eastAsia="es-MX"/>
              </w:rPr>
            </w:pPr>
            <w:r w:rsidRPr="00267429">
              <w:rPr>
                <w:rFonts w:ascii="Arial" w:eastAsia="Times New Roman" w:hAnsi="Arial" w:cs="Arial"/>
                <w:color w:val="000000"/>
                <w:sz w:val="18"/>
                <w:lang w:eastAsia="es-MX"/>
              </w:rPr>
              <w:t> </w:t>
            </w:r>
          </w:p>
        </w:tc>
      </w:tr>
    </w:tbl>
    <w:p w14:paraId="5119832D" w14:textId="620A1547" w:rsidR="004A5EA1" w:rsidRPr="00CA34F5" w:rsidRDefault="004A5EA1" w:rsidP="000A4C31">
      <w:pPr>
        <w:pStyle w:val="Default"/>
        <w:tabs>
          <w:tab w:val="left" w:pos="9498"/>
        </w:tabs>
        <w:ind w:right="340"/>
        <w:jc w:val="left"/>
        <w:rPr>
          <w:sz w:val="22"/>
          <w:szCs w:val="22"/>
          <w:lang w:val="es-ES_tradnl"/>
        </w:rPr>
      </w:pPr>
      <w:r w:rsidRPr="00CA34F5">
        <w:rPr>
          <w:sz w:val="22"/>
          <w:szCs w:val="22"/>
          <w:lang w:val="es-ES_tradnl"/>
        </w:rPr>
        <w:t>Fuente: Secretaría de Finanzas</w:t>
      </w:r>
    </w:p>
    <w:p w14:paraId="356D6635" w14:textId="77777777" w:rsidR="00D700B1" w:rsidRPr="00CA34F5" w:rsidRDefault="00D700B1" w:rsidP="000A4C31">
      <w:pPr>
        <w:autoSpaceDE w:val="0"/>
        <w:autoSpaceDN w:val="0"/>
        <w:adjustRightInd w:val="0"/>
        <w:spacing w:after="0" w:line="240" w:lineRule="auto"/>
        <w:ind w:right="340"/>
        <w:jc w:val="left"/>
        <w:rPr>
          <w:rFonts w:ascii="Arial" w:eastAsia="Calibri" w:hAnsi="Arial" w:cs="Arial"/>
          <w:color w:val="000000"/>
        </w:rPr>
      </w:pPr>
    </w:p>
    <w:p w14:paraId="7FB53BE8" w14:textId="77777777" w:rsidR="0091527D" w:rsidRPr="00CA34F5" w:rsidRDefault="0091527D" w:rsidP="000A4C31">
      <w:pPr>
        <w:autoSpaceDE w:val="0"/>
        <w:autoSpaceDN w:val="0"/>
        <w:adjustRightInd w:val="0"/>
        <w:spacing w:after="0" w:line="240" w:lineRule="auto"/>
        <w:ind w:right="340"/>
        <w:jc w:val="both"/>
        <w:rPr>
          <w:rFonts w:ascii="Arial" w:hAnsi="Arial" w:cs="Arial"/>
        </w:rPr>
      </w:pPr>
    </w:p>
    <w:p w14:paraId="5E2E60C3" w14:textId="72B64EA0" w:rsidR="00DC3862" w:rsidRPr="00CA34F5" w:rsidRDefault="00DC3862" w:rsidP="000A4C31">
      <w:pPr>
        <w:autoSpaceDE w:val="0"/>
        <w:autoSpaceDN w:val="0"/>
        <w:adjustRightInd w:val="0"/>
        <w:spacing w:after="0" w:line="240" w:lineRule="auto"/>
        <w:ind w:right="340"/>
        <w:jc w:val="both"/>
        <w:rPr>
          <w:rFonts w:ascii="Arial" w:hAnsi="Arial" w:cs="Arial"/>
        </w:rPr>
      </w:pPr>
      <w:r w:rsidRPr="00CA34F5">
        <w:rPr>
          <w:rFonts w:ascii="Arial" w:hAnsi="Arial" w:cs="Arial"/>
        </w:rPr>
        <w:t xml:space="preserve">El cuadro siguiente muestra el valor nominal de los derechos fideicomisarios del Gobierno del Estado de Tabasco sobre los Bonos </w:t>
      </w:r>
      <w:proofErr w:type="spellStart"/>
      <w:r w:rsidRPr="00CA34F5">
        <w:rPr>
          <w:rFonts w:ascii="Arial" w:hAnsi="Arial" w:cs="Arial"/>
        </w:rPr>
        <w:t>Cupòn</w:t>
      </w:r>
      <w:proofErr w:type="spellEnd"/>
      <w:r w:rsidRPr="00CA34F5">
        <w:rPr>
          <w:rFonts w:ascii="Arial" w:hAnsi="Arial" w:cs="Arial"/>
        </w:rPr>
        <w:t xml:space="preserve"> Cero contratados con BANOBRAS para ser fuente de pago de las Obligaciones con el mismo banco, referidas en el cuadro que antecede.</w:t>
      </w:r>
    </w:p>
    <w:p w14:paraId="151F1D58" w14:textId="77777777" w:rsidR="00B449F1" w:rsidRDefault="00B449F1" w:rsidP="000A4C31">
      <w:pPr>
        <w:autoSpaceDE w:val="0"/>
        <w:autoSpaceDN w:val="0"/>
        <w:adjustRightInd w:val="0"/>
        <w:spacing w:after="0" w:line="240" w:lineRule="auto"/>
        <w:ind w:right="340"/>
        <w:jc w:val="both"/>
        <w:rPr>
          <w:rFonts w:ascii="Arial" w:hAnsi="Arial" w:cs="Arial"/>
        </w:rPr>
      </w:pPr>
    </w:p>
    <w:p w14:paraId="4919853A" w14:textId="77777777" w:rsidR="00267429" w:rsidRDefault="00267429" w:rsidP="000A4C31">
      <w:pPr>
        <w:autoSpaceDE w:val="0"/>
        <w:autoSpaceDN w:val="0"/>
        <w:adjustRightInd w:val="0"/>
        <w:spacing w:after="0" w:line="240" w:lineRule="auto"/>
        <w:ind w:right="340"/>
        <w:jc w:val="both"/>
        <w:rPr>
          <w:rFonts w:ascii="Arial" w:hAnsi="Arial" w:cs="Arial"/>
        </w:rPr>
      </w:pPr>
    </w:p>
    <w:p w14:paraId="7318DFF4" w14:textId="77777777" w:rsidR="00267429" w:rsidRDefault="00267429" w:rsidP="000A4C31">
      <w:pPr>
        <w:autoSpaceDE w:val="0"/>
        <w:autoSpaceDN w:val="0"/>
        <w:adjustRightInd w:val="0"/>
        <w:spacing w:after="0" w:line="240" w:lineRule="auto"/>
        <w:ind w:right="340"/>
        <w:jc w:val="both"/>
        <w:rPr>
          <w:rFonts w:ascii="Arial" w:hAnsi="Arial" w:cs="Arial"/>
        </w:rPr>
      </w:pPr>
    </w:p>
    <w:p w14:paraId="2539CB3A" w14:textId="77777777" w:rsidR="00B449F1" w:rsidRPr="00CA34F5" w:rsidRDefault="00B449F1" w:rsidP="000A4C31">
      <w:pPr>
        <w:pStyle w:val="Prrafodelista"/>
        <w:tabs>
          <w:tab w:val="left" w:pos="3099"/>
        </w:tabs>
        <w:spacing w:line="240" w:lineRule="auto"/>
        <w:rPr>
          <w:rFonts w:ascii="Arial" w:hAnsi="Arial" w:cs="Arial"/>
          <w:b/>
        </w:rPr>
      </w:pPr>
      <w:r w:rsidRPr="00CA34F5">
        <w:rPr>
          <w:rFonts w:ascii="Arial" w:hAnsi="Arial" w:cs="Arial"/>
          <w:b/>
        </w:rPr>
        <w:lastRenderedPageBreak/>
        <w:t>Obligación Bono Cupón Cero diciembre 2021</w:t>
      </w:r>
    </w:p>
    <w:p w14:paraId="7E3BC9FE" w14:textId="77777777" w:rsidR="00B449F1" w:rsidRPr="00CA34F5" w:rsidRDefault="00B449F1" w:rsidP="000A4C31">
      <w:pPr>
        <w:autoSpaceDE w:val="0"/>
        <w:autoSpaceDN w:val="0"/>
        <w:adjustRightInd w:val="0"/>
        <w:spacing w:after="0" w:line="240" w:lineRule="auto"/>
        <w:ind w:right="340"/>
        <w:jc w:val="both"/>
        <w:rPr>
          <w:rFonts w:ascii="Arial" w:hAnsi="Arial" w:cs="Arial"/>
        </w:rPr>
      </w:pPr>
    </w:p>
    <w:tbl>
      <w:tblPr>
        <w:tblW w:w="9483" w:type="dxa"/>
        <w:jc w:val="center"/>
        <w:tblCellMar>
          <w:left w:w="70" w:type="dxa"/>
          <w:right w:w="70" w:type="dxa"/>
        </w:tblCellMar>
        <w:tblLook w:val="04A0" w:firstRow="1" w:lastRow="0" w:firstColumn="1" w:lastColumn="0" w:noHBand="0" w:noVBand="1"/>
      </w:tblPr>
      <w:tblGrid>
        <w:gridCol w:w="2126"/>
        <w:gridCol w:w="2362"/>
        <w:gridCol w:w="2628"/>
        <w:gridCol w:w="1130"/>
        <w:gridCol w:w="1237"/>
      </w:tblGrid>
      <w:tr w:rsidR="00B449F1" w:rsidRPr="00CA34F5" w14:paraId="53530C97" w14:textId="77777777" w:rsidTr="00C42946">
        <w:trPr>
          <w:trHeight w:val="412"/>
          <w:jc w:val="center"/>
        </w:trPr>
        <w:tc>
          <w:tcPr>
            <w:tcW w:w="2126"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03520E64" w14:textId="77777777" w:rsidR="00B449F1" w:rsidRPr="00CA34F5" w:rsidRDefault="00B449F1" w:rsidP="000A4C31">
            <w:pPr>
              <w:spacing w:line="240" w:lineRule="auto"/>
              <w:rPr>
                <w:rFonts w:ascii="Arial" w:eastAsia="Times New Roman" w:hAnsi="Arial" w:cs="Arial"/>
                <w:color w:val="FFFFFF"/>
                <w:lang w:eastAsia="es-MX"/>
              </w:rPr>
            </w:pPr>
            <w:r w:rsidRPr="00CA34F5">
              <w:rPr>
                <w:rFonts w:ascii="Arial" w:eastAsia="Times New Roman" w:hAnsi="Arial" w:cs="Arial"/>
                <w:color w:val="FFFFFF"/>
                <w:lang w:eastAsia="es-MX"/>
              </w:rPr>
              <w:t> </w:t>
            </w:r>
          </w:p>
        </w:tc>
        <w:tc>
          <w:tcPr>
            <w:tcW w:w="2362" w:type="dxa"/>
            <w:tcBorders>
              <w:top w:val="single" w:sz="4" w:space="0" w:color="auto"/>
              <w:left w:val="nil"/>
              <w:bottom w:val="single" w:sz="4" w:space="0" w:color="auto"/>
              <w:right w:val="single" w:sz="4" w:space="0" w:color="auto"/>
            </w:tcBorders>
            <w:shd w:val="clear" w:color="000000" w:fill="C00000"/>
            <w:noWrap/>
            <w:vAlign w:val="bottom"/>
            <w:hideMark/>
          </w:tcPr>
          <w:p w14:paraId="7DFED5FC" w14:textId="77777777" w:rsidR="00B449F1" w:rsidRPr="00CA34F5" w:rsidRDefault="00B449F1" w:rsidP="000A4C31">
            <w:pPr>
              <w:spacing w:line="240" w:lineRule="auto"/>
              <w:rPr>
                <w:rFonts w:ascii="Arial" w:eastAsia="Times New Roman" w:hAnsi="Arial" w:cs="Arial"/>
                <w:b/>
                <w:bCs/>
                <w:color w:val="FFFFFF"/>
                <w:lang w:eastAsia="es-MX"/>
              </w:rPr>
            </w:pPr>
            <w:r w:rsidRPr="00CA34F5">
              <w:rPr>
                <w:rFonts w:ascii="Arial" w:eastAsia="Times New Roman" w:hAnsi="Arial" w:cs="Arial"/>
                <w:b/>
                <w:bCs/>
                <w:color w:val="FFFFFF"/>
                <w:lang w:eastAsia="es-MX"/>
              </w:rPr>
              <w:t>Dispuesto</w:t>
            </w:r>
          </w:p>
        </w:tc>
        <w:tc>
          <w:tcPr>
            <w:tcW w:w="2628" w:type="dxa"/>
            <w:tcBorders>
              <w:top w:val="single" w:sz="4" w:space="0" w:color="auto"/>
              <w:left w:val="nil"/>
              <w:bottom w:val="single" w:sz="4" w:space="0" w:color="auto"/>
              <w:right w:val="single" w:sz="4" w:space="0" w:color="auto"/>
            </w:tcBorders>
            <w:shd w:val="clear" w:color="000000" w:fill="C00000"/>
            <w:noWrap/>
            <w:vAlign w:val="bottom"/>
            <w:hideMark/>
          </w:tcPr>
          <w:p w14:paraId="34642594" w14:textId="77777777" w:rsidR="00B449F1" w:rsidRPr="00CA34F5" w:rsidRDefault="00B449F1" w:rsidP="000A4C31">
            <w:pPr>
              <w:spacing w:line="240" w:lineRule="auto"/>
              <w:rPr>
                <w:rFonts w:ascii="Arial" w:eastAsia="Times New Roman" w:hAnsi="Arial" w:cs="Arial"/>
                <w:b/>
                <w:bCs/>
                <w:color w:val="FFFFFF"/>
                <w:lang w:eastAsia="es-MX"/>
              </w:rPr>
            </w:pPr>
            <w:r w:rsidRPr="00CA34F5">
              <w:rPr>
                <w:rFonts w:ascii="Arial" w:eastAsia="Times New Roman" w:hAnsi="Arial" w:cs="Arial"/>
                <w:b/>
                <w:bCs/>
                <w:color w:val="FFFFFF"/>
                <w:lang w:eastAsia="es-MX"/>
              </w:rPr>
              <w:t>Valor Nominal</w:t>
            </w:r>
          </w:p>
        </w:tc>
        <w:tc>
          <w:tcPr>
            <w:tcW w:w="2367" w:type="dxa"/>
            <w:gridSpan w:val="2"/>
            <w:tcBorders>
              <w:top w:val="single" w:sz="4" w:space="0" w:color="auto"/>
              <w:left w:val="nil"/>
              <w:bottom w:val="single" w:sz="4" w:space="0" w:color="auto"/>
              <w:right w:val="single" w:sz="4" w:space="0" w:color="auto"/>
            </w:tcBorders>
            <w:shd w:val="clear" w:color="000000" w:fill="C00000"/>
            <w:noWrap/>
            <w:vAlign w:val="bottom"/>
            <w:hideMark/>
          </w:tcPr>
          <w:p w14:paraId="01026115" w14:textId="77777777" w:rsidR="00B449F1" w:rsidRPr="00CA34F5" w:rsidRDefault="00B449F1" w:rsidP="000A4C31">
            <w:pPr>
              <w:spacing w:line="240" w:lineRule="auto"/>
              <w:rPr>
                <w:rFonts w:ascii="Arial" w:eastAsia="Times New Roman" w:hAnsi="Arial" w:cs="Arial"/>
                <w:b/>
                <w:bCs/>
                <w:color w:val="FFFFFF"/>
                <w:lang w:eastAsia="es-MX"/>
              </w:rPr>
            </w:pPr>
            <w:r w:rsidRPr="00CA34F5">
              <w:rPr>
                <w:rFonts w:ascii="Arial" w:eastAsia="Times New Roman" w:hAnsi="Arial" w:cs="Arial"/>
                <w:b/>
                <w:bCs/>
                <w:color w:val="FFFFFF"/>
                <w:lang w:eastAsia="es-MX"/>
              </w:rPr>
              <w:t>Saldo Insoluto</w:t>
            </w:r>
          </w:p>
        </w:tc>
      </w:tr>
      <w:tr w:rsidR="00B449F1" w:rsidRPr="00CA34F5" w14:paraId="74BDFDE7" w14:textId="77777777" w:rsidTr="00C42946">
        <w:trPr>
          <w:trHeight w:val="412"/>
          <w:jc w:val="center"/>
        </w:trPr>
        <w:tc>
          <w:tcPr>
            <w:tcW w:w="2126" w:type="dxa"/>
            <w:tcBorders>
              <w:top w:val="nil"/>
              <w:left w:val="single" w:sz="4" w:space="0" w:color="auto"/>
              <w:bottom w:val="nil"/>
              <w:right w:val="nil"/>
            </w:tcBorders>
            <w:shd w:val="clear" w:color="000000" w:fill="FFFFFF"/>
            <w:noWrap/>
            <w:vAlign w:val="bottom"/>
            <w:hideMark/>
          </w:tcPr>
          <w:p w14:paraId="3416CBE8" w14:textId="77777777" w:rsidR="00B449F1" w:rsidRPr="00CA34F5" w:rsidRDefault="00B449F1" w:rsidP="000A4C31">
            <w:pPr>
              <w:spacing w:line="240" w:lineRule="auto"/>
              <w:rPr>
                <w:rFonts w:ascii="Arial" w:eastAsia="Times New Roman" w:hAnsi="Arial" w:cs="Arial"/>
                <w:color w:val="000000"/>
                <w:lang w:eastAsia="es-MX"/>
              </w:rPr>
            </w:pPr>
            <w:r w:rsidRPr="00CA34F5">
              <w:rPr>
                <w:rFonts w:ascii="Arial" w:eastAsia="Times New Roman" w:hAnsi="Arial" w:cs="Arial"/>
                <w:color w:val="000000"/>
                <w:lang w:eastAsia="es-MX"/>
              </w:rPr>
              <w:t>FONREC</w:t>
            </w:r>
          </w:p>
        </w:tc>
        <w:tc>
          <w:tcPr>
            <w:tcW w:w="2362" w:type="dxa"/>
            <w:tcBorders>
              <w:top w:val="nil"/>
              <w:left w:val="nil"/>
              <w:bottom w:val="nil"/>
              <w:right w:val="nil"/>
            </w:tcBorders>
            <w:shd w:val="clear" w:color="000000" w:fill="FFFFFF"/>
            <w:noWrap/>
            <w:vAlign w:val="bottom"/>
            <w:hideMark/>
          </w:tcPr>
          <w:p w14:paraId="69995A6C" w14:textId="77777777" w:rsidR="00B449F1" w:rsidRPr="00CA34F5" w:rsidRDefault="00B449F1" w:rsidP="000A4C31">
            <w:pPr>
              <w:spacing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1,319,430,177</w:t>
            </w:r>
          </w:p>
        </w:tc>
        <w:tc>
          <w:tcPr>
            <w:tcW w:w="2628" w:type="dxa"/>
            <w:tcBorders>
              <w:top w:val="nil"/>
              <w:left w:val="nil"/>
              <w:bottom w:val="nil"/>
              <w:right w:val="nil"/>
            </w:tcBorders>
            <w:shd w:val="clear" w:color="000000" w:fill="FFFFFF"/>
            <w:noWrap/>
            <w:vAlign w:val="bottom"/>
            <w:hideMark/>
          </w:tcPr>
          <w:p w14:paraId="3B2EC497" w14:textId="77777777" w:rsidR="00B449F1" w:rsidRPr="00CA34F5" w:rsidRDefault="00B449F1" w:rsidP="000A4C31">
            <w:pPr>
              <w:spacing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615,246,061</w:t>
            </w:r>
          </w:p>
        </w:tc>
        <w:tc>
          <w:tcPr>
            <w:tcW w:w="2367" w:type="dxa"/>
            <w:gridSpan w:val="2"/>
            <w:tcBorders>
              <w:top w:val="nil"/>
              <w:left w:val="nil"/>
              <w:bottom w:val="nil"/>
              <w:right w:val="single" w:sz="4" w:space="0" w:color="auto"/>
            </w:tcBorders>
            <w:shd w:val="clear" w:color="000000" w:fill="FFFFFF"/>
            <w:noWrap/>
            <w:vAlign w:val="bottom"/>
            <w:hideMark/>
          </w:tcPr>
          <w:p w14:paraId="0C38A927" w14:textId="77777777" w:rsidR="00B449F1" w:rsidRPr="00CA34F5" w:rsidRDefault="00B449F1" w:rsidP="000A4C31">
            <w:pPr>
              <w:spacing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704,184,116</w:t>
            </w:r>
          </w:p>
        </w:tc>
      </w:tr>
      <w:tr w:rsidR="00B449F1" w:rsidRPr="00CA34F5" w14:paraId="75137C66" w14:textId="77777777" w:rsidTr="00C42946">
        <w:trPr>
          <w:trHeight w:val="412"/>
          <w:jc w:val="center"/>
        </w:trPr>
        <w:tc>
          <w:tcPr>
            <w:tcW w:w="2126" w:type="dxa"/>
            <w:tcBorders>
              <w:top w:val="nil"/>
              <w:left w:val="single" w:sz="4" w:space="0" w:color="auto"/>
              <w:bottom w:val="single" w:sz="4" w:space="0" w:color="auto"/>
              <w:right w:val="nil"/>
            </w:tcBorders>
            <w:shd w:val="clear" w:color="000000" w:fill="FFFFFF"/>
            <w:noWrap/>
            <w:vAlign w:val="bottom"/>
            <w:hideMark/>
          </w:tcPr>
          <w:p w14:paraId="37C284B9" w14:textId="77777777" w:rsidR="00B449F1" w:rsidRPr="00CA34F5" w:rsidRDefault="00B449F1" w:rsidP="000A4C31">
            <w:pPr>
              <w:spacing w:line="240" w:lineRule="auto"/>
              <w:rPr>
                <w:rFonts w:ascii="Arial" w:eastAsia="Times New Roman" w:hAnsi="Arial" w:cs="Arial"/>
                <w:color w:val="000000"/>
                <w:lang w:eastAsia="es-MX"/>
              </w:rPr>
            </w:pPr>
            <w:r w:rsidRPr="00CA34F5">
              <w:rPr>
                <w:rFonts w:ascii="Arial" w:eastAsia="Times New Roman" w:hAnsi="Arial" w:cs="Arial"/>
                <w:color w:val="000000"/>
                <w:lang w:eastAsia="es-MX"/>
              </w:rPr>
              <w:t>PROFISE</w:t>
            </w:r>
          </w:p>
        </w:tc>
        <w:tc>
          <w:tcPr>
            <w:tcW w:w="2362" w:type="dxa"/>
            <w:tcBorders>
              <w:top w:val="nil"/>
              <w:left w:val="nil"/>
              <w:bottom w:val="single" w:sz="4" w:space="0" w:color="auto"/>
              <w:right w:val="nil"/>
            </w:tcBorders>
            <w:shd w:val="clear" w:color="000000" w:fill="FFFFFF"/>
            <w:noWrap/>
            <w:vAlign w:val="bottom"/>
            <w:hideMark/>
          </w:tcPr>
          <w:p w14:paraId="3C6A8626" w14:textId="77777777" w:rsidR="00B449F1" w:rsidRPr="00CA34F5" w:rsidRDefault="00B449F1" w:rsidP="000A4C31">
            <w:pPr>
              <w:spacing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659,693,178</w:t>
            </w:r>
          </w:p>
        </w:tc>
        <w:tc>
          <w:tcPr>
            <w:tcW w:w="2628" w:type="dxa"/>
            <w:tcBorders>
              <w:top w:val="nil"/>
              <w:left w:val="nil"/>
              <w:bottom w:val="single" w:sz="4" w:space="0" w:color="auto"/>
              <w:right w:val="nil"/>
            </w:tcBorders>
            <w:shd w:val="clear" w:color="000000" w:fill="FFFFFF"/>
            <w:noWrap/>
            <w:vAlign w:val="bottom"/>
            <w:hideMark/>
          </w:tcPr>
          <w:p w14:paraId="5DA92A95" w14:textId="77777777" w:rsidR="00B449F1" w:rsidRPr="00CA34F5" w:rsidRDefault="00B449F1" w:rsidP="000A4C31">
            <w:pPr>
              <w:spacing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291,741,253</w:t>
            </w:r>
          </w:p>
        </w:tc>
        <w:tc>
          <w:tcPr>
            <w:tcW w:w="2367" w:type="dxa"/>
            <w:gridSpan w:val="2"/>
            <w:tcBorders>
              <w:top w:val="nil"/>
              <w:left w:val="nil"/>
              <w:bottom w:val="single" w:sz="4" w:space="0" w:color="auto"/>
              <w:right w:val="single" w:sz="4" w:space="0" w:color="auto"/>
            </w:tcBorders>
            <w:shd w:val="clear" w:color="000000" w:fill="FFFFFF"/>
            <w:noWrap/>
            <w:vAlign w:val="bottom"/>
            <w:hideMark/>
          </w:tcPr>
          <w:p w14:paraId="3DD37A9C" w14:textId="77777777" w:rsidR="00B449F1" w:rsidRPr="00CA34F5" w:rsidRDefault="00B449F1" w:rsidP="000A4C31">
            <w:pPr>
              <w:spacing w:line="240" w:lineRule="auto"/>
              <w:jc w:val="right"/>
              <w:rPr>
                <w:rFonts w:ascii="Arial" w:eastAsia="Times New Roman" w:hAnsi="Arial" w:cs="Arial"/>
                <w:color w:val="000000"/>
                <w:lang w:eastAsia="es-MX"/>
              </w:rPr>
            </w:pPr>
            <w:r w:rsidRPr="00CA34F5">
              <w:rPr>
                <w:rFonts w:ascii="Arial" w:eastAsia="Times New Roman" w:hAnsi="Arial" w:cs="Arial"/>
                <w:color w:val="000000"/>
                <w:lang w:eastAsia="es-MX"/>
              </w:rPr>
              <w:t>367,951,925</w:t>
            </w:r>
          </w:p>
        </w:tc>
      </w:tr>
      <w:tr w:rsidR="003B4E69" w:rsidRPr="00CA34F5" w14:paraId="7CA9C440" w14:textId="77777777" w:rsidTr="00C42946">
        <w:trPr>
          <w:gridAfter w:val="1"/>
          <w:wAfter w:w="1237" w:type="dxa"/>
          <w:trHeight w:val="289"/>
          <w:jc w:val="center"/>
        </w:trPr>
        <w:tc>
          <w:tcPr>
            <w:tcW w:w="8246" w:type="dxa"/>
            <w:gridSpan w:val="4"/>
            <w:tcBorders>
              <w:top w:val="nil"/>
              <w:left w:val="nil"/>
              <w:bottom w:val="nil"/>
              <w:right w:val="nil"/>
            </w:tcBorders>
            <w:shd w:val="clear" w:color="auto" w:fill="auto"/>
            <w:noWrap/>
            <w:vAlign w:val="bottom"/>
          </w:tcPr>
          <w:p w14:paraId="4DEF9EBE" w14:textId="78536F31" w:rsidR="003B4E69" w:rsidRPr="00CA34F5" w:rsidRDefault="003B4E69" w:rsidP="000A4C31">
            <w:pPr>
              <w:spacing w:after="0" w:line="240" w:lineRule="auto"/>
              <w:rPr>
                <w:rFonts w:ascii="Arial" w:eastAsia="Times New Roman" w:hAnsi="Arial" w:cs="Arial"/>
                <w:b/>
                <w:bCs/>
                <w:color w:val="000000"/>
                <w:lang w:val="es-ES" w:eastAsia="es-ES"/>
              </w:rPr>
            </w:pPr>
          </w:p>
        </w:tc>
      </w:tr>
      <w:tr w:rsidR="005C3B84" w:rsidRPr="00CA34F5" w14:paraId="6983BCA8" w14:textId="77777777" w:rsidTr="00C42946">
        <w:trPr>
          <w:gridAfter w:val="1"/>
          <w:wAfter w:w="1237" w:type="dxa"/>
          <w:trHeight w:val="289"/>
          <w:jc w:val="center"/>
        </w:trPr>
        <w:tc>
          <w:tcPr>
            <w:tcW w:w="8246" w:type="dxa"/>
            <w:gridSpan w:val="4"/>
            <w:tcBorders>
              <w:top w:val="nil"/>
              <w:left w:val="nil"/>
              <w:right w:val="nil"/>
            </w:tcBorders>
            <w:shd w:val="clear" w:color="auto" w:fill="auto"/>
            <w:noWrap/>
            <w:vAlign w:val="bottom"/>
          </w:tcPr>
          <w:p w14:paraId="06FE6C0C" w14:textId="44C6B26B" w:rsidR="005C3B84" w:rsidRPr="00CA34F5" w:rsidRDefault="005C3B84" w:rsidP="000A4C31">
            <w:pPr>
              <w:spacing w:after="0" w:line="240" w:lineRule="auto"/>
              <w:jc w:val="left"/>
              <w:rPr>
                <w:rFonts w:ascii="Arial" w:eastAsia="Times New Roman" w:hAnsi="Arial" w:cs="Arial"/>
                <w:color w:val="000000"/>
                <w:lang w:val="es-ES" w:eastAsia="es-ES"/>
              </w:rPr>
            </w:pPr>
          </w:p>
        </w:tc>
      </w:tr>
    </w:tbl>
    <w:p w14:paraId="32AED410" w14:textId="77777777" w:rsidR="00C42946" w:rsidRDefault="00C42946" w:rsidP="000A4C31">
      <w:pPr>
        <w:autoSpaceDE w:val="0"/>
        <w:autoSpaceDN w:val="0"/>
        <w:adjustRightInd w:val="0"/>
        <w:spacing w:after="0" w:line="240" w:lineRule="auto"/>
        <w:ind w:right="340"/>
        <w:jc w:val="both"/>
        <w:rPr>
          <w:rFonts w:ascii="Arial" w:hAnsi="Arial" w:cs="Arial"/>
          <w:b/>
        </w:rPr>
      </w:pPr>
    </w:p>
    <w:p w14:paraId="12155794" w14:textId="77777777" w:rsidR="005A7A13" w:rsidRPr="00CA34F5" w:rsidRDefault="005A7A13" w:rsidP="000A4C31">
      <w:pPr>
        <w:autoSpaceDE w:val="0"/>
        <w:autoSpaceDN w:val="0"/>
        <w:adjustRightInd w:val="0"/>
        <w:spacing w:after="0" w:line="240" w:lineRule="auto"/>
        <w:ind w:right="340"/>
        <w:jc w:val="both"/>
        <w:rPr>
          <w:rFonts w:ascii="Arial" w:hAnsi="Arial" w:cs="Arial"/>
          <w:b/>
        </w:rPr>
      </w:pPr>
      <w:r w:rsidRPr="00CA34F5">
        <w:rPr>
          <w:rFonts w:ascii="Arial" w:hAnsi="Arial" w:cs="Arial"/>
          <w:b/>
        </w:rPr>
        <w:t>12. Calificaciones Otorgadas</w:t>
      </w:r>
    </w:p>
    <w:p w14:paraId="57CD7486" w14:textId="77777777" w:rsidR="005A7A13" w:rsidRPr="00CA34F5" w:rsidRDefault="005A7A13" w:rsidP="000A4C31">
      <w:pPr>
        <w:spacing w:after="0" w:line="240" w:lineRule="auto"/>
        <w:ind w:left="114" w:right="49"/>
        <w:jc w:val="both"/>
        <w:rPr>
          <w:rFonts w:ascii="Arial" w:eastAsia="DIN Next LT Pro" w:hAnsi="Arial" w:cs="Arial"/>
        </w:rPr>
      </w:pPr>
    </w:p>
    <w:p w14:paraId="7FFC1583" w14:textId="66962B15" w:rsidR="005A7A13" w:rsidRPr="00CA34F5" w:rsidRDefault="005A7A13" w:rsidP="000A4C31">
      <w:pPr>
        <w:spacing w:after="0" w:line="240" w:lineRule="auto"/>
        <w:ind w:right="74"/>
        <w:jc w:val="both"/>
        <w:rPr>
          <w:rFonts w:ascii="Arial" w:eastAsia="DIN Next LT Pro Condensed" w:hAnsi="Arial" w:cs="Arial"/>
          <w:b/>
        </w:rPr>
      </w:pPr>
      <w:r w:rsidRPr="00CA34F5">
        <w:rPr>
          <w:rFonts w:ascii="Arial" w:eastAsia="DIN Next LT Pro Condensed" w:hAnsi="Arial" w:cs="Arial"/>
        </w:rPr>
        <w:t>La</w:t>
      </w:r>
      <w:r w:rsidRPr="00CA34F5">
        <w:rPr>
          <w:rFonts w:ascii="Arial" w:eastAsia="DIN Next LT Pro Condensed" w:hAnsi="Arial" w:cs="Arial"/>
          <w:spacing w:val="30"/>
        </w:rPr>
        <w:t xml:space="preserve"> </w:t>
      </w:r>
      <w:r w:rsidRPr="00CA34F5">
        <w:rPr>
          <w:rFonts w:ascii="Arial" w:eastAsia="DIN Next LT Pro Condensed" w:hAnsi="Arial" w:cs="Arial"/>
        </w:rPr>
        <w:t xml:space="preserve">información </w:t>
      </w:r>
      <w:r w:rsidRPr="00CA34F5">
        <w:rPr>
          <w:rFonts w:ascii="Arial" w:eastAsia="DIN Next LT Pro Condensed" w:hAnsi="Arial" w:cs="Arial"/>
          <w:spacing w:val="3"/>
        </w:rPr>
        <w:t xml:space="preserve"> </w:t>
      </w:r>
      <w:r w:rsidRPr="00CA34F5">
        <w:rPr>
          <w:rFonts w:ascii="Arial" w:eastAsia="DIN Next LT Pro Condensed" w:hAnsi="Arial" w:cs="Arial"/>
        </w:rPr>
        <w:t>que</w:t>
      </w:r>
      <w:r w:rsidRPr="00CA34F5">
        <w:rPr>
          <w:rFonts w:ascii="Arial" w:eastAsia="DIN Next LT Pro Condensed" w:hAnsi="Arial" w:cs="Arial"/>
          <w:spacing w:val="32"/>
        </w:rPr>
        <w:t xml:space="preserve"> </w:t>
      </w:r>
      <w:r w:rsidRPr="00CA34F5">
        <w:rPr>
          <w:rFonts w:ascii="Arial" w:eastAsia="DIN Next LT Pro Condensed" w:hAnsi="Arial" w:cs="Arial"/>
        </w:rPr>
        <w:t>presentan  los</w:t>
      </w:r>
      <w:r w:rsidRPr="00CA34F5">
        <w:rPr>
          <w:rFonts w:ascii="Arial" w:eastAsia="DIN Next LT Pro Condensed" w:hAnsi="Arial" w:cs="Arial"/>
          <w:spacing w:val="31"/>
        </w:rPr>
        <w:t xml:space="preserve"> </w:t>
      </w:r>
      <w:r w:rsidRPr="00CA34F5">
        <w:rPr>
          <w:rFonts w:ascii="Arial" w:eastAsia="DIN Next LT Pro Condensed" w:hAnsi="Arial" w:cs="Arial"/>
        </w:rPr>
        <w:t>estados</w:t>
      </w:r>
      <w:r w:rsidRPr="00CA34F5">
        <w:rPr>
          <w:rFonts w:ascii="Arial" w:eastAsia="DIN Next LT Pro Condensed" w:hAnsi="Arial" w:cs="Arial"/>
          <w:spacing w:val="37"/>
        </w:rPr>
        <w:t xml:space="preserve"> </w:t>
      </w:r>
      <w:r w:rsidRPr="00CA34F5">
        <w:rPr>
          <w:rFonts w:ascii="Arial" w:eastAsia="DIN Next LT Pro Condensed" w:hAnsi="Arial" w:cs="Arial"/>
        </w:rPr>
        <w:t xml:space="preserve">financieros </w:t>
      </w:r>
      <w:r w:rsidRPr="00CA34F5">
        <w:rPr>
          <w:rFonts w:ascii="Arial" w:eastAsia="DIN Next LT Pro Condensed" w:hAnsi="Arial" w:cs="Arial"/>
          <w:spacing w:val="1"/>
        </w:rPr>
        <w:t xml:space="preserve"> </w:t>
      </w:r>
      <w:r w:rsidRPr="00CA34F5">
        <w:rPr>
          <w:rFonts w:ascii="Arial" w:eastAsia="DIN Next LT Pro Condensed" w:hAnsi="Arial" w:cs="Arial"/>
        </w:rPr>
        <w:t>de</w:t>
      </w:r>
      <w:r w:rsidRPr="00CA34F5">
        <w:rPr>
          <w:rFonts w:ascii="Arial" w:eastAsia="DIN Next LT Pro Condensed" w:hAnsi="Arial" w:cs="Arial"/>
          <w:spacing w:val="30"/>
        </w:rPr>
        <w:t xml:space="preserve"> </w:t>
      </w:r>
      <w:r w:rsidRPr="00CA34F5">
        <w:rPr>
          <w:rFonts w:ascii="Arial" w:eastAsia="DIN Next LT Pro Condensed" w:hAnsi="Arial" w:cs="Arial"/>
        </w:rPr>
        <w:t>la</w:t>
      </w:r>
      <w:r w:rsidRPr="00CA34F5">
        <w:rPr>
          <w:rFonts w:ascii="Arial" w:eastAsia="DIN Next LT Pro Condensed" w:hAnsi="Arial" w:cs="Arial"/>
          <w:spacing w:val="29"/>
        </w:rPr>
        <w:t xml:space="preserve"> </w:t>
      </w:r>
      <w:r w:rsidRPr="00CA34F5">
        <w:rPr>
          <w:rFonts w:ascii="Arial" w:eastAsia="DIN Next LT Pro Condensed" w:hAnsi="Arial" w:cs="Arial"/>
        </w:rPr>
        <w:t>entidad</w:t>
      </w:r>
      <w:r w:rsidRPr="00CA34F5">
        <w:rPr>
          <w:rFonts w:ascii="Arial" w:eastAsia="DIN Next LT Pro Condensed" w:hAnsi="Arial" w:cs="Arial"/>
          <w:spacing w:val="37"/>
        </w:rPr>
        <w:t xml:space="preserve"> </w:t>
      </w:r>
      <w:r w:rsidRPr="00CA34F5">
        <w:rPr>
          <w:rFonts w:ascii="Arial" w:eastAsia="DIN Next LT Pro Condensed" w:hAnsi="Arial" w:cs="Arial"/>
        </w:rPr>
        <w:t xml:space="preserve">periódicamente </w:t>
      </w:r>
      <w:r w:rsidRPr="00CA34F5">
        <w:rPr>
          <w:rFonts w:ascii="Arial" w:eastAsia="DIN Next LT Pro Condensed" w:hAnsi="Arial" w:cs="Arial"/>
          <w:spacing w:val="7"/>
        </w:rPr>
        <w:t xml:space="preserve"> </w:t>
      </w:r>
      <w:r w:rsidRPr="00CA34F5">
        <w:rPr>
          <w:rFonts w:ascii="Arial" w:eastAsia="DIN Next LT Pro Condensed" w:hAnsi="Arial" w:cs="Arial"/>
        </w:rPr>
        <w:t>es</w:t>
      </w:r>
      <w:r w:rsidRPr="00CA34F5">
        <w:rPr>
          <w:rFonts w:ascii="Arial" w:eastAsia="DIN Next LT Pro Condensed" w:hAnsi="Arial" w:cs="Arial"/>
          <w:spacing w:val="30"/>
        </w:rPr>
        <w:t xml:space="preserve"> </w:t>
      </w:r>
      <w:r w:rsidRPr="00CA34F5">
        <w:rPr>
          <w:rFonts w:ascii="Arial" w:eastAsia="DIN Next LT Pro Condensed" w:hAnsi="Arial" w:cs="Arial"/>
        </w:rPr>
        <w:t>sometida</w:t>
      </w:r>
      <w:r w:rsidRPr="00CA34F5">
        <w:rPr>
          <w:rFonts w:ascii="Arial" w:eastAsia="DIN Next LT Pro Condensed" w:hAnsi="Arial" w:cs="Arial"/>
          <w:spacing w:val="39"/>
        </w:rPr>
        <w:t xml:space="preserve"> </w:t>
      </w:r>
      <w:r w:rsidRPr="00CA34F5">
        <w:rPr>
          <w:rFonts w:ascii="Arial" w:eastAsia="DIN Next LT Pro Condensed" w:hAnsi="Arial" w:cs="Arial"/>
        </w:rPr>
        <w:t>a</w:t>
      </w:r>
      <w:r w:rsidRPr="00CA34F5">
        <w:rPr>
          <w:rFonts w:ascii="Arial" w:eastAsia="DIN Next LT Pro Condensed" w:hAnsi="Arial" w:cs="Arial"/>
          <w:spacing w:val="28"/>
        </w:rPr>
        <w:t xml:space="preserve"> </w:t>
      </w:r>
      <w:r w:rsidRPr="00CA34F5">
        <w:rPr>
          <w:rFonts w:ascii="Arial" w:eastAsia="DIN Next LT Pro Condensed" w:hAnsi="Arial" w:cs="Arial"/>
        </w:rPr>
        <w:t xml:space="preserve">evaluación </w:t>
      </w:r>
      <w:r w:rsidRPr="00CA34F5">
        <w:rPr>
          <w:rFonts w:ascii="Arial" w:eastAsia="DIN Next LT Pro Condensed" w:hAnsi="Arial" w:cs="Arial"/>
          <w:spacing w:val="1"/>
        </w:rPr>
        <w:t xml:space="preserve"> </w:t>
      </w:r>
      <w:r w:rsidRPr="00CA34F5">
        <w:rPr>
          <w:rFonts w:ascii="Arial" w:eastAsia="DIN Next LT Pro Condensed" w:hAnsi="Arial" w:cs="Arial"/>
        </w:rPr>
        <w:t>minuciosa  por</w:t>
      </w:r>
      <w:r w:rsidRPr="00CA34F5">
        <w:rPr>
          <w:rFonts w:ascii="Arial" w:eastAsia="DIN Next LT Pro Condensed" w:hAnsi="Arial" w:cs="Arial"/>
          <w:spacing w:val="31"/>
        </w:rPr>
        <w:t xml:space="preserve"> </w:t>
      </w:r>
      <w:r w:rsidRPr="00CA34F5">
        <w:rPr>
          <w:rFonts w:ascii="Arial" w:eastAsia="DIN Next LT Pro Condensed" w:hAnsi="Arial" w:cs="Arial"/>
        </w:rPr>
        <w:t>parte</w:t>
      </w:r>
      <w:r w:rsidRPr="00CA34F5">
        <w:rPr>
          <w:rFonts w:ascii="Arial" w:eastAsia="DIN Next LT Pro Condensed" w:hAnsi="Arial" w:cs="Arial"/>
          <w:spacing w:val="34"/>
        </w:rPr>
        <w:t xml:space="preserve"> </w:t>
      </w:r>
      <w:r w:rsidRPr="00CA34F5">
        <w:rPr>
          <w:rFonts w:ascii="Arial" w:eastAsia="DIN Next LT Pro Condensed" w:hAnsi="Arial" w:cs="Arial"/>
        </w:rPr>
        <w:t>de</w:t>
      </w:r>
      <w:r w:rsidR="00CD56B8">
        <w:rPr>
          <w:rFonts w:ascii="Arial" w:eastAsia="DIN Next LT Pro Condensed" w:hAnsi="Arial" w:cs="Arial"/>
        </w:rPr>
        <w:t xml:space="preserve"> </w:t>
      </w:r>
      <w:r w:rsidRPr="00CA34F5">
        <w:rPr>
          <w:rFonts w:ascii="Arial" w:eastAsia="DIN Next LT Pro Condensed" w:hAnsi="Arial" w:cs="Arial"/>
        </w:rPr>
        <w:t>las</w:t>
      </w:r>
      <w:r w:rsidRPr="00CA34F5">
        <w:rPr>
          <w:rFonts w:ascii="Arial" w:eastAsia="DIN Next LT Pro Condensed" w:hAnsi="Arial" w:cs="Arial"/>
          <w:spacing w:val="31"/>
        </w:rPr>
        <w:t xml:space="preserve"> </w:t>
      </w:r>
      <w:r w:rsidRPr="00CA34F5">
        <w:rPr>
          <w:rFonts w:ascii="Arial" w:eastAsia="DIN Next LT Pro Condensed" w:hAnsi="Arial" w:cs="Arial"/>
        </w:rPr>
        <w:t>calificadora</w:t>
      </w:r>
      <w:r w:rsidR="00F03C90" w:rsidRPr="00CA34F5">
        <w:rPr>
          <w:rFonts w:ascii="Arial" w:eastAsia="DIN Next LT Pro Condensed" w:hAnsi="Arial" w:cs="Arial"/>
        </w:rPr>
        <w:t>s</w:t>
      </w:r>
      <w:r w:rsidR="003724C6" w:rsidRPr="00CA34F5">
        <w:rPr>
          <w:rFonts w:ascii="Arial" w:eastAsia="DIN Next LT Pro Condensed" w:hAnsi="Arial" w:cs="Arial"/>
        </w:rPr>
        <w:t>: HR</w:t>
      </w:r>
      <w:r w:rsidRPr="00CA34F5">
        <w:rPr>
          <w:rFonts w:ascii="Arial" w:eastAsia="DIN Next LT Pro Condensed" w:hAnsi="Arial" w:cs="Arial"/>
        </w:rPr>
        <w:t xml:space="preserve"> Rating de México, S.A de C.V</w:t>
      </w:r>
      <w:r w:rsidR="00005F47" w:rsidRPr="00CA34F5">
        <w:rPr>
          <w:rFonts w:ascii="Arial" w:eastAsia="DIN Next LT Pro Condensed" w:hAnsi="Arial" w:cs="Arial"/>
        </w:rPr>
        <w:t xml:space="preserve"> </w:t>
      </w:r>
      <w:r w:rsidR="006D1F5A" w:rsidRPr="00CA34F5">
        <w:rPr>
          <w:rFonts w:ascii="Arial" w:eastAsia="DIN Next LT Pro Condensed" w:hAnsi="Arial" w:cs="Arial"/>
        </w:rPr>
        <w:t>al 5 de abril</w:t>
      </w:r>
      <w:r w:rsidR="00F03C90" w:rsidRPr="00CA34F5">
        <w:rPr>
          <w:rFonts w:ascii="Arial" w:eastAsia="DIN Next LT Pro Condensed" w:hAnsi="Arial" w:cs="Arial"/>
        </w:rPr>
        <w:t xml:space="preserve"> de 2021 es “HR A</w:t>
      </w:r>
      <w:proofErr w:type="gramStart"/>
      <w:r w:rsidR="003724C6" w:rsidRPr="00CA34F5">
        <w:rPr>
          <w:rFonts w:ascii="Arial" w:eastAsia="DIN Next LT Pro Condensed" w:hAnsi="Arial" w:cs="Arial"/>
        </w:rPr>
        <w:t>“</w:t>
      </w:r>
      <w:r w:rsidR="003724C6">
        <w:rPr>
          <w:rFonts w:ascii="Arial" w:eastAsia="DIN Next LT Pro Condensed" w:hAnsi="Arial" w:cs="Arial"/>
        </w:rPr>
        <w:t xml:space="preserve"> </w:t>
      </w:r>
      <w:r w:rsidR="003724C6" w:rsidRPr="00CA34F5">
        <w:rPr>
          <w:rFonts w:ascii="Arial" w:eastAsia="DIN Next LT Pro Condensed" w:hAnsi="Arial" w:cs="Arial"/>
        </w:rPr>
        <w:t>y</w:t>
      </w:r>
      <w:proofErr w:type="gramEnd"/>
      <w:r w:rsidRPr="00CA34F5">
        <w:rPr>
          <w:rFonts w:ascii="Arial" w:eastAsia="DIN Next LT Pro Condensed" w:hAnsi="Arial" w:cs="Arial"/>
          <w:spacing w:val="28"/>
        </w:rPr>
        <w:t xml:space="preserve"> </w:t>
      </w:r>
      <w:proofErr w:type="spellStart"/>
      <w:r w:rsidRPr="00CA34F5">
        <w:rPr>
          <w:rFonts w:ascii="Arial" w:eastAsia="DIN Next LT Pro Condensed" w:hAnsi="Arial" w:cs="Arial"/>
        </w:rPr>
        <w:t>Moody's</w:t>
      </w:r>
      <w:proofErr w:type="spellEnd"/>
      <w:r w:rsidRPr="00CA34F5">
        <w:rPr>
          <w:rFonts w:ascii="Arial" w:eastAsia="DIN Next LT Pro Condensed" w:hAnsi="Arial" w:cs="Arial"/>
        </w:rPr>
        <w:t xml:space="preserve"> de México S.A de C.V,</w:t>
      </w:r>
      <w:r w:rsidR="00005F47" w:rsidRPr="00CA34F5">
        <w:rPr>
          <w:rFonts w:ascii="Arial" w:eastAsia="DIN Next LT Pro Condensed" w:hAnsi="Arial" w:cs="Arial"/>
        </w:rPr>
        <w:t xml:space="preserve"> </w:t>
      </w:r>
      <w:r w:rsidRPr="00CA34F5">
        <w:rPr>
          <w:rFonts w:ascii="Arial" w:eastAsia="DIN Next LT Pro Condensed" w:hAnsi="Arial" w:cs="Arial"/>
          <w:spacing w:val="38"/>
        </w:rPr>
        <w:t xml:space="preserve"> </w:t>
      </w:r>
      <w:r w:rsidRPr="00CA34F5">
        <w:rPr>
          <w:rFonts w:ascii="Arial" w:eastAsia="DIN Next LT Pro Condensed" w:hAnsi="Arial" w:cs="Arial"/>
        </w:rPr>
        <w:t xml:space="preserve">de “A +“. </w:t>
      </w:r>
      <w:r w:rsidR="00B25D86" w:rsidRPr="00CA34F5">
        <w:rPr>
          <w:rFonts w:ascii="Arial" w:eastAsia="DIN Next LT Pro Condensed" w:hAnsi="Arial" w:cs="Arial"/>
        </w:rPr>
        <w:t xml:space="preserve">     </w:t>
      </w:r>
    </w:p>
    <w:p w14:paraId="7398802C" w14:textId="77777777" w:rsidR="000273CE" w:rsidRPr="00CA34F5" w:rsidRDefault="000273CE" w:rsidP="000A4C31">
      <w:pPr>
        <w:spacing w:after="0" w:line="240" w:lineRule="auto"/>
        <w:ind w:right="74"/>
        <w:jc w:val="both"/>
        <w:rPr>
          <w:rFonts w:ascii="Arial" w:eastAsia="DIN Next LT Pro Condensed" w:hAnsi="Arial" w:cs="Arial"/>
        </w:rPr>
      </w:pPr>
    </w:p>
    <w:p w14:paraId="11A6D414" w14:textId="77777777" w:rsidR="005A7A13" w:rsidRPr="00CA34F5" w:rsidRDefault="005A7A13" w:rsidP="000A4C31">
      <w:pPr>
        <w:autoSpaceDE w:val="0"/>
        <w:autoSpaceDN w:val="0"/>
        <w:adjustRightInd w:val="0"/>
        <w:spacing w:after="0" w:line="240" w:lineRule="auto"/>
        <w:ind w:right="340"/>
        <w:jc w:val="both"/>
        <w:rPr>
          <w:rFonts w:ascii="Arial" w:hAnsi="Arial" w:cs="Arial"/>
          <w:b/>
        </w:rPr>
      </w:pPr>
      <w:r w:rsidRPr="00CA34F5">
        <w:rPr>
          <w:rFonts w:ascii="Arial" w:hAnsi="Arial" w:cs="Arial"/>
          <w:b/>
        </w:rPr>
        <w:t>13. Proceso de Mejora</w:t>
      </w:r>
    </w:p>
    <w:p w14:paraId="4822C80D" w14:textId="77777777" w:rsidR="005A7A13" w:rsidRPr="00CA34F5" w:rsidRDefault="005A7A13" w:rsidP="000A4C31">
      <w:pPr>
        <w:spacing w:after="0" w:line="240" w:lineRule="auto"/>
        <w:ind w:right="74"/>
        <w:jc w:val="both"/>
        <w:rPr>
          <w:rFonts w:ascii="Arial" w:eastAsia="DIN Next LT Pro" w:hAnsi="Arial" w:cs="Arial"/>
        </w:rPr>
      </w:pPr>
    </w:p>
    <w:p w14:paraId="79616AD1" w14:textId="77777777" w:rsidR="005A7A13" w:rsidRPr="00CA34F5" w:rsidRDefault="005A7A13" w:rsidP="000A4C31">
      <w:pPr>
        <w:spacing w:after="0" w:line="240" w:lineRule="auto"/>
        <w:ind w:right="74"/>
        <w:jc w:val="both"/>
        <w:rPr>
          <w:rFonts w:ascii="Arial" w:eastAsia="DIN Next LT Pro Condensed" w:hAnsi="Arial" w:cs="Arial"/>
          <w:w w:val="102"/>
        </w:rPr>
      </w:pPr>
      <w:r w:rsidRPr="00CA34F5">
        <w:rPr>
          <w:rFonts w:ascii="Arial" w:eastAsia="DIN Next LT Pro Condensed" w:hAnsi="Arial" w:cs="Arial"/>
        </w:rPr>
        <w:t>Las</w:t>
      </w:r>
      <w:r w:rsidRPr="00CA34F5">
        <w:rPr>
          <w:rFonts w:ascii="Arial" w:eastAsia="DIN Next LT Pro Condensed" w:hAnsi="Arial" w:cs="Arial"/>
          <w:spacing w:val="12"/>
        </w:rPr>
        <w:t xml:space="preserve"> </w:t>
      </w:r>
      <w:r w:rsidRPr="00CA34F5">
        <w:rPr>
          <w:rFonts w:ascii="Arial" w:eastAsia="DIN Next LT Pro Condensed" w:hAnsi="Arial" w:cs="Arial"/>
        </w:rPr>
        <w:t>principales</w:t>
      </w:r>
      <w:r w:rsidRPr="00CA34F5">
        <w:rPr>
          <w:rFonts w:ascii="Arial" w:eastAsia="DIN Next LT Pro Condensed" w:hAnsi="Arial" w:cs="Arial"/>
          <w:spacing w:val="23"/>
        </w:rPr>
        <w:t xml:space="preserve"> </w:t>
      </w:r>
      <w:r w:rsidRPr="00CA34F5">
        <w:rPr>
          <w:rFonts w:ascii="Arial" w:eastAsia="DIN Next LT Pro Condensed" w:hAnsi="Arial" w:cs="Arial"/>
        </w:rPr>
        <w:t>Políticas</w:t>
      </w:r>
      <w:r w:rsidRPr="00CA34F5">
        <w:rPr>
          <w:rFonts w:ascii="Arial" w:eastAsia="DIN Next LT Pro Condensed" w:hAnsi="Arial" w:cs="Arial"/>
          <w:spacing w:val="19"/>
        </w:rPr>
        <w:t xml:space="preserve"> </w:t>
      </w:r>
      <w:r w:rsidRPr="00CA34F5">
        <w:rPr>
          <w:rFonts w:ascii="Arial" w:eastAsia="DIN Next LT Pro Condensed" w:hAnsi="Arial" w:cs="Arial"/>
        </w:rPr>
        <w:t>de</w:t>
      </w:r>
      <w:r w:rsidRPr="00CA34F5">
        <w:rPr>
          <w:rFonts w:ascii="Arial" w:eastAsia="DIN Next LT Pro Condensed" w:hAnsi="Arial" w:cs="Arial"/>
          <w:spacing w:val="11"/>
        </w:rPr>
        <w:t xml:space="preserve"> </w:t>
      </w:r>
      <w:r w:rsidRPr="00CA34F5">
        <w:rPr>
          <w:rFonts w:ascii="Arial" w:eastAsia="DIN Next LT Pro Condensed" w:hAnsi="Arial" w:cs="Arial"/>
        </w:rPr>
        <w:t>control</w:t>
      </w:r>
      <w:r w:rsidRPr="00CA34F5">
        <w:rPr>
          <w:rFonts w:ascii="Arial" w:eastAsia="DIN Next LT Pro Condensed" w:hAnsi="Arial" w:cs="Arial"/>
          <w:spacing w:val="17"/>
        </w:rPr>
        <w:t xml:space="preserve"> </w:t>
      </w:r>
      <w:r w:rsidRPr="00CA34F5">
        <w:rPr>
          <w:rFonts w:ascii="Arial" w:eastAsia="DIN Next LT Pro Condensed" w:hAnsi="Arial" w:cs="Arial"/>
        </w:rPr>
        <w:t>Interno</w:t>
      </w:r>
      <w:r w:rsidRPr="00CA34F5">
        <w:rPr>
          <w:rFonts w:ascii="Arial" w:eastAsia="DIN Next LT Pro Condensed" w:hAnsi="Arial" w:cs="Arial"/>
          <w:spacing w:val="17"/>
        </w:rPr>
        <w:t xml:space="preserve"> </w:t>
      </w:r>
      <w:r w:rsidRPr="00CA34F5">
        <w:rPr>
          <w:rFonts w:ascii="Arial" w:eastAsia="DIN Next LT Pro Condensed" w:hAnsi="Arial" w:cs="Arial"/>
        </w:rPr>
        <w:t>se</w:t>
      </w:r>
      <w:r w:rsidRPr="00CA34F5">
        <w:rPr>
          <w:rFonts w:ascii="Arial" w:eastAsia="DIN Next LT Pro Condensed" w:hAnsi="Arial" w:cs="Arial"/>
          <w:spacing w:val="11"/>
        </w:rPr>
        <w:t xml:space="preserve"> </w:t>
      </w:r>
      <w:r w:rsidRPr="00CA34F5">
        <w:rPr>
          <w:rFonts w:ascii="Arial" w:eastAsia="DIN Next LT Pro Condensed" w:hAnsi="Arial" w:cs="Arial"/>
        </w:rPr>
        <w:t>encuentran</w:t>
      </w:r>
      <w:r w:rsidRPr="00CA34F5">
        <w:rPr>
          <w:rFonts w:ascii="Arial" w:eastAsia="DIN Next LT Pro Condensed" w:hAnsi="Arial" w:cs="Arial"/>
          <w:spacing w:val="23"/>
        </w:rPr>
        <w:t xml:space="preserve"> </w:t>
      </w:r>
      <w:r w:rsidRPr="00CA34F5">
        <w:rPr>
          <w:rFonts w:ascii="Arial" w:eastAsia="DIN Next LT Pro Condensed" w:hAnsi="Arial" w:cs="Arial"/>
        </w:rPr>
        <w:t>presentes</w:t>
      </w:r>
      <w:r w:rsidRPr="00CA34F5">
        <w:rPr>
          <w:rFonts w:ascii="Arial" w:eastAsia="DIN Next LT Pro Condensed" w:hAnsi="Arial" w:cs="Arial"/>
          <w:spacing w:val="21"/>
        </w:rPr>
        <w:t xml:space="preserve"> </w:t>
      </w:r>
      <w:r w:rsidRPr="00CA34F5">
        <w:rPr>
          <w:rFonts w:ascii="Arial" w:eastAsia="DIN Next LT Pro Condensed" w:hAnsi="Arial" w:cs="Arial"/>
        </w:rPr>
        <w:t>en</w:t>
      </w:r>
      <w:r w:rsidRPr="00CA34F5">
        <w:rPr>
          <w:rFonts w:ascii="Arial" w:eastAsia="DIN Next LT Pro Condensed" w:hAnsi="Arial" w:cs="Arial"/>
          <w:spacing w:val="11"/>
        </w:rPr>
        <w:t xml:space="preserve"> </w:t>
      </w:r>
      <w:r w:rsidRPr="00CA34F5">
        <w:rPr>
          <w:rFonts w:ascii="Arial" w:eastAsia="DIN Next LT Pro Condensed" w:hAnsi="Arial" w:cs="Arial"/>
        </w:rPr>
        <w:t>los</w:t>
      </w:r>
      <w:r w:rsidRPr="00CA34F5">
        <w:rPr>
          <w:rFonts w:ascii="Arial" w:eastAsia="DIN Next LT Pro Condensed" w:hAnsi="Arial" w:cs="Arial"/>
          <w:spacing w:val="12"/>
        </w:rPr>
        <w:t xml:space="preserve"> </w:t>
      </w:r>
      <w:r w:rsidRPr="00CA34F5">
        <w:rPr>
          <w:rFonts w:ascii="Arial" w:eastAsia="DIN Next LT Pro Condensed" w:hAnsi="Arial" w:cs="Arial"/>
        </w:rPr>
        <w:t>procesos</w:t>
      </w:r>
      <w:r w:rsidRPr="00CA34F5">
        <w:rPr>
          <w:rFonts w:ascii="Arial" w:eastAsia="DIN Next LT Pro Condensed" w:hAnsi="Arial" w:cs="Arial"/>
          <w:spacing w:val="20"/>
        </w:rPr>
        <w:t xml:space="preserve"> </w:t>
      </w:r>
      <w:r w:rsidRPr="00CA34F5">
        <w:rPr>
          <w:rFonts w:ascii="Arial" w:eastAsia="DIN Next LT Pro Condensed" w:hAnsi="Arial" w:cs="Arial"/>
        </w:rPr>
        <w:t>administrativos</w:t>
      </w:r>
      <w:r w:rsidRPr="00CA34F5">
        <w:rPr>
          <w:rFonts w:ascii="Arial" w:eastAsia="DIN Next LT Pro Condensed" w:hAnsi="Arial" w:cs="Arial"/>
          <w:spacing w:val="28"/>
        </w:rPr>
        <w:t xml:space="preserve"> </w:t>
      </w:r>
      <w:r w:rsidRPr="00CA34F5">
        <w:rPr>
          <w:rFonts w:ascii="Arial" w:eastAsia="DIN Next LT Pro Condensed" w:hAnsi="Arial" w:cs="Arial"/>
        </w:rPr>
        <w:t>y</w:t>
      </w:r>
      <w:r w:rsidRPr="00CA34F5">
        <w:rPr>
          <w:rFonts w:ascii="Arial" w:eastAsia="DIN Next LT Pro Condensed" w:hAnsi="Arial" w:cs="Arial"/>
          <w:spacing w:val="9"/>
        </w:rPr>
        <w:t xml:space="preserve"> </w:t>
      </w:r>
      <w:r w:rsidRPr="00CA34F5">
        <w:rPr>
          <w:rFonts w:ascii="Arial" w:eastAsia="DIN Next LT Pro Condensed" w:hAnsi="Arial" w:cs="Arial"/>
        </w:rPr>
        <w:t>operativos</w:t>
      </w:r>
      <w:r w:rsidRPr="00CA34F5">
        <w:rPr>
          <w:rFonts w:ascii="Arial" w:eastAsia="DIN Next LT Pro Condensed" w:hAnsi="Arial" w:cs="Arial"/>
          <w:spacing w:val="22"/>
        </w:rPr>
        <w:t xml:space="preserve"> </w:t>
      </w:r>
      <w:r w:rsidRPr="00CA34F5">
        <w:rPr>
          <w:rFonts w:ascii="Arial" w:eastAsia="DIN Next LT Pro Condensed" w:hAnsi="Arial" w:cs="Arial"/>
        </w:rPr>
        <w:t>de</w:t>
      </w:r>
      <w:r w:rsidRPr="00CA34F5">
        <w:rPr>
          <w:rFonts w:ascii="Arial" w:eastAsia="DIN Next LT Pro Condensed" w:hAnsi="Arial" w:cs="Arial"/>
          <w:spacing w:val="11"/>
        </w:rPr>
        <w:t xml:space="preserve"> </w:t>
      </w:r>
      <w:r w:rsidRPr="00CA34F5">
        <w:rPr>
          <w:rFonts w:ascii="Arial" w:eastAsia="DIN Next LT Pro Condensed" w:hAnsi="Arial" w:cs="Arial"/>
        </w:rPr>
        <w:t>la</w:t>
      </w:r>
      <w:r w:rsidRPr="00CA34F5">
        <w:rPr>
          <w:rFonts w:ascii="Arial" w:eastAsia="DIN Next LT Pro Condensed" w:hAnsi="Arial" w:cs="Arial"/>
          <w:spacing w:val="10"/>
        </w:rPr>
        <w:t xml:space="preserve"> </w:t>
      </w:r>
      <w:r w:rsidRPr="00CA34F5">
        <w:rPr>
          <w:rFonts w:ascii="Arial" w:eastAsia="DIN Next LT Pro Condensed" w:hAnsi="Arial" w:cs="Arial"/>
        </w:rPr>
        <w:t>administración</w:t>
      </w:r>
      <w:r w:rsidRPr="00CA34F5">
        <w:rPr>
          <w:rFonts w:ascii="Arial" w:eastAsia="DIN Next LT Pro Condensed" w:hAnsi="Arial" w:cs="Arial"/>
          <w:spacing w:val="28"/>
        </w:rPr>
        <w:t xml:space="preserve"> </w:t>
      </w:r>
      <w:r w:rsidRPr="00CA34F5">
        <w:rPr>
          <w:rFonts w:ascii="Arial" w:eastAsia="DIN Next LT Pro Condensed" w:hAnsi="Arial" w:cs="Arial"/>
        </w:rPr>
        <w:t>pública</w:t>
      </w:r>
      <w:r w:rsidRPr="00CA34F5">
        <w:rPr>
          <w:rFonts w:ascii="Arial" w:eastAsia="DIN Next LT Pro Condensed" w:hAnsi="Arial" w:cs="Arial"/>
          <w:spacing w:val="18"/>
        </w:rPr>
        <w:t xml:space="preserve"> </w:t>
      </w:r>
      <w:r w:rsidRPr="00CA34F5">
        <w:rPr>
          <w:rFonts w:ascii="Arial" w:eastAsia="DIN Next LT Pro Condensed" w:hAnsi="Arial" w:cs="Arial"/>
        </w:rPr>
        <w:t>del</w:t>
      </w:r>
      <w:r w:rsidRPr="00CA34F5">
        <w:rPr>
          <w:rFonts w:ascii="Arial" w:eastAsia="DIN Next LT Pro Condensed" w:hAnsi="Arial" w:cs="Arial"/>
          <w:spacing w:val="12"/>
        </w:rPr>
        <w:t xml:space="preserve"> </w:t>
      </w:r>
      <w:r w:rsidRPr="00CA34F5">
        <w:rPr>
          <w:rFonts w:ascii="Arial" w:eastAsia="DIN Next LT Pro Condensed" w:hAnsi="Arial" w:cs="Arial"/>
        </w:rPr>
        <w:t>estado,</w:t>
      </w:r>
      <w:r w:rsidRPr="00CA34F5">
        <w:rPr>
          <w:rFonts w:ascii="Arial" w:eastAsia="DIN Next LT Pro Condensed" w:hAnsi="Arial" w:cs="Arial"/>
          <w:spacing w:val="18"/>
        </w:rPr>
        <w:t xml:space="preserve"> </w:t>
      </w:r>
      <w:r w:rsidRPr="00CA34F5">
        <w:rPr>
          <w:rFonts w:ascii="Arial" w:eastAsia="DIN Next LT Pro Condensed" w:hAnsi="Arial" w:cs="Arial"/>
        </w:rPr>
        <w:t>se</w:t>
      </w:r>
      <w:r w:rsidRPr="00CA34F5">
        <w:rPr>
          <w:rFonts w:ascii="Arial" w:eastAsia="DIN Next LT Pro Condensed" w:hAnsi="Arial" w:cs="Arial"/>
          <w:spacing w:val="11"/>
        </w:rPr>
        <w:t xml:space="preserve"> </w:t>
      </w:r>
      <w:r w:rsidRPr="00CA34F5">
        <w:rPr>
          <w:rFonts w:ascii="Arial" w:eastAsia="DIN Next LT Pro Condensed" w:hAnsi="Arial" w:cs="Arial"/>
        </w:rPr>
        <w:t>considera</w:t>
      </w:r>
      <w:r w:rsidRPr="00CA34F5">
        <w:rPr>
          <w:rFonts w:ascii="Arial" w:eastAsia="DIN Next LT Pro Condensed" w:hAnsi="Arial" w:cs="Arial"/>
          <w:spacing w:val="21"/>
        </w:rPr>
        <w:t xml:space="preserve"> </w:t>
      </w:r>
      <w:r w:rsidRPr="00CA34F5">
        <w:rPr>
          <w:rFonts w:ascii="Arial" w:eastAsia="DIN Next LT Pro Condensed" w:hAnsi="Arial" w:cs="Arial"/>
        </w:rPr>
        <w:t>como</w:t>
      </w:r>
      <w:r w:rsidRPr="00CA34F5">
        <w:rPr>
          <w:rFonts w:ascii="Arial" w:eastAsia="DIN Next LT Pro Condensed" w:hAnsi="Arial" w:cs="Arial"/>
          <w:spacing w:val="15"/>
        </w:rPr>
        <w:t xml:space="preserve"> </w:t>
      </w:r>
      <w:r w:rsidRPr="00CA34F5">
        <w:rPr>
          <w:rFonts w:ascii="Arial" w:eastAsia="DIN Next LT Pro Condensed" w:hAnsi="Arial" w:cs="Arial"/>
        </w:rPr>
        <w:t>un</w:t>
      </w:r>
      <w:r w:rsidRPr="00CA34F5">
        <w:rPr>
          <w:rFonts w:ascii="Arial" w:eastAsia="DIN Next LT Pro Condensed" w:hAnsi="Arial" w:cs="Arial"/>
          <w:spacing w:val="11"/>
        </w:rPr>
        <w:t xml:space="preserve"> </w:t>
      </w:r>
      <w:r w:rsidRPr="00CA34F5">
        <w:rPr>
          <w:rFonts w:ascii="Arial" w:eastAsia="DIN Next LT Pro Condensed" w:hAnsi="Arial" w:cs="Arial"/>
        </w:rPr>
        <w:t>elemento</w:t>
      </w:r>
      <w:r w:rsidRPr="00CA34F5">
        <w:rPr>
          <w:rFonts w:ascii="Arial" w:eastAsia="DIN Next LT Pro Condensed" w:hAnsi="Arial" w:cs="Arial"/>
          <w:spacing w:val="20"/>
        </w:rPr>
        <w:t xml:space="preserve"> </w:t>
      </w:r>
      <w:r w:rsidRPr="00CA34F5">
        <w:rPr>
          <w:rFonts w:ascii="Arial" w:eastAsia="DIN Next LT Pro Condensed" w:hAnsi="Arial" w:cs="Arial"/>
          <w:w w:val="102"/>
        </w:rPr>
        <w:t xml:space="preserve">estratégico </w:t>
      </w:r>
      <w:r w:rsidRPr="00CA34F5">
        <w:rPr>
          <w:rFonts w:ascii="Arial" w:eastAsia="DIN Next LT Pro Condensed" w:hAnsi="Arial" w:cs="Arial"/>
        </w:rPr>
        <w:t>para</w:t>
      </w:r>
      <w:r w:rsidRPr="00CA34F5">
        <w:rPr>
          <w:rFonts w:ascii="Arial" w:eastAsia="DIN Next LT Pro Condensed" w:hAnsi="Arial" w:cs="Arial"/>
          <w:spacing w:val="7"/>
        </w:rPr>
        <w:t xml:space="preserve"> </w:t>
      </w:r>
      <w:r w:rsidRPr="00CA34F5">
        <w:rPr>
          <w:rFonts w:ascii="Arial" w:eastAsia="DIN Next LT Pro Condensed" w:hAnsi="Arial" w:cs="Arial"/>
        </w:rPr>
        <w:t>asegurar</w:t>
      </w:r>
      <w:r w:rsidRPr="00CA34F5">
        <w:rPr>
          <w:rFonts w:ascii="Arial" w:eastAsia="DIN Next LT Pro Condensed" w:hAnsi="Arial" w:cs="Arial"/>
          <w:spacing w:val="13"/>
        </w:rPr>
        <w:t xml:space="preserve"> </w:t>
      </w:r>
      <w:r w:rsidRPr="00CA34F5">
        <w:rPr>
          <w:rFonts w:ascii="Arial" w:eastAsia="DIN Next LT Pro Condensed" w:hAnsi="Arial" w:cs="Arial"/>
        </w:rPr>
        <w:t>la</w:t>
      </w:r>
      <w:r w:rsidRPr="00CA34F5">
        <w:rPr>
          <w:rFonts w:ascii="Arial" w:eastAsia="DIN Next LT Pro Condensed" w:hAnsi="Arial" w:cs="Arial"/>
          <w:spacing w:val="3"/>
        </w:rPr>
        <w:t xml:space="preserve"> </w:t>
      </w:r>
      <w:r w:rsidRPr="00CA34F5">
        <w:rPr>
          <w:rFonts w:ascii="Arial" w:eastAsia="DIN Next LT Pro Condensed" w:hAnsi="Arial" w:cs="Arial"/>
        </w:rPr>
        <w:t>consecución</w:t>
      </w:r>
      <w:r w:rsidRPr="00CA34F5">
        <w:rPr>
          <w:rFonts w:ascii="Arial" w:eastAsia="DIN Next LT Pro Condensed" w:hAnsi="Arial" w:cs="Arial"/>
          <w:spacing w:val="17"/>
        </w:rPr>
        <w:t xml:space="preserve"> </w:t>
      </w:r>
      <w:r w:rsidRPr="00CA34F5">
        <w:rPr>
          <w:rFonts w:ascii="Arial" w:eastAsia="DIN Next LT Pro Condensed" w:hAnsi="Arial" w:cs="Arial"/>
        </w:rPr>
        <w:t>de</w:t>
      </w:r>
      <w:r w:rsidRPr="00CA34F5">
        <w:rPr>
          <w:rFonts w:ascii="Arial" w:eastAsia="DIN Next LT Pro Condensed" w:hAnsi="Arial" w:cs="Arial"/>
          <w:spacing w:val="4"/>
        </w:rPr>
        <w:t xml:space="preserve"> </w:t>
      </w:r>
      <w:r w:rsidRPr="00CA34F5">
        <w:rPr>
          <w:rFonts w:ascii="Arial" w:eastAsia="DIN Next LT Pro Condensed" w:hAnsi="Arial" w:cs="Arial"/>
        </w:rPr>
        <w:t>sus</w:t>
      </w:r>
      <w:r w:rsidRPr="00CA34F5">
        <w:rPr>
          <w:rFonts w:ascii="Arial" w:eastAsia="DIN Next LT Pro Condensed" w:hAnsi="Arial" w:cs="Arial"/>
          <w:spacing w:val="6"/>
        </w:rPr>
        <w:t xml:space="preserve"> </w:t>
      </w:r>
      <w:r w:rsidRPr="00CA34F5">
        <w:rPr>
          <w:rFonts w:ascii="Arial" w:eastAsia="DIN Next LT Pro Condensed" w:hAnsi="Arial" w:cs="Arial"/>
        </w:rPr>
        <w:t>objetivos</w:t>
      </w:r>
      <w:r w:rsidRPr="00CA34F5">
        <w:rPr>
          <w:rFonts w:ascii="Arial" w:eastAsia="DIN Next LT Pro Condensed" w:hAnsi="Arial" w:cs="Arial"/>
          <w:spacing w:val="13"/>
        </w:rPr>
        <w:t xml:space="preserve"> </w:t>
      </w:r>
      <w:r w:rsidRPr="00CA34F5">
        <w:rPr>
          <w:rFonts w:ascii="Arial" w:eastAsia="DIN Next LT Pro Condensed" w:hAnsi="Arial" w:cs="Arial"/>
        </w:rPr>
        <w:t>y</w:t>
      </w:r>
      <w:r w:rsidRPr="00CA34F5">
        <w:rPr>
          <w:rFonts w:ascii="Arial" w:eastAsia="DIN Next LT Pro Condensed" w:hAnsi="Arial" w:cs="Arial"/>
          <w:spacing w:val="2"/>
        </w:rPr>
        <w:t xml:space="preserve"> </w:t>
      </w:r>
      <w:r w:rsidRPr="00CA34F5">
        <w:rPr>
          <w:rFonts w:ascii="Arial" w:eastAsia="DIN Next LT Pro Condensed" w:hAnsi="Arial" w:cs="Arial"/>
        </w:rPr>
        <w:t>está</w:t>
      </w:r>
      <w:r w:rsidRPr="00CA34F5">
        <w:rPr>
          <w:rFonts w:ascii="Arial" w:eastAsia="DIN Next LT Pro Condensed" w:hAnsi="Arial" w:cs="Arial"/>
          <w:spacing w:val="7"/>
        </w:rPr>
        <w:t xml:space="preserve"> </w:t>
      </w:r>
      <w:r w:rsidRPr="00CA34F5">
        <w:rPr>
          <w:rFonts w:ascii="Arial" w:eastAsia="DIN Next LT Pro Condensed" w:hAnsi="Arial" w:cs="Arial"/>
        </w:rPr>
        <w:t>diseñado</w:t>
      </w:r>
      <w:r w:rsidRPr="00CA34F5">
        <w:rPr>
          <w:rFonts w:ascii="Arial" w:eastAsia="DIN Next LT Pro Condensed" w:hAnsi="Arial" w:cs="Arial"/>
          <w:spacing w:val="13"/>
        </w:rPr>
        <w:t xml:space="preserve"> </w:t>
      </w:r>
      <w:r w:rsidRPr="00CA34F5">
        <w:rPr>
          <w:rFonts w:ascii="Arial" w:eastAsia="DIN Next LT Pro Condensed" w:hAnsi="Arial" w:cs="Arial"/>
        </w:rPr>
        <w:t>para</w:t>
      </w:r>
      <w:r w:rsidRPr="00CA34F5">
        <w:rPr>
          <w:rFonts w:ascii="Arial" w:eastAsia="DIN Next LT Pro Condensed" w:hAnsi="Arial" w:cs="Arial"/>
          <w:spacing w:val="7"/>
        </w:rPr>
        <w:t xml:space="preserve"> </w:t>
      </w:r>
      <w:r w:rsidRPr="00CA34F5">
        <w:rPr>
          <w:rFonts w:ascii="Arial" w:eastAsia="DIN Next LT Pro Condensed" w:hAnsi="Arial" w:cs="Arial"/>
        </w:rPr>
        <w:t>proporcionar</w:t>
      </w:r>
      <w:r w:rsidRPr="00CA34F5">
        <w:rPr>
          <w:rFonts w:ascii="Arial" w:eastAsia="DIN Next LT Pro Condensed" w:hAnsi="Arial" w:cs="Arial"/>
          <w:spacing w:val="18"/>
        </w:rPr>
        <w:t xml:space="preserve"> </w:t>
      </w:r>
      <w:r w:rsidRPr="00CA34F5">
        <w:rPr>
          <w:rFonts w:ascii="Arial" w:eastAsia="DIN Next LT Pro Condensed" w:hAnsi="Arial" w:cs="Arial"/>
        </w:rPr>
        <w:t>seguridad</w:t>
      </w:r>
      <w:r w:rsidRPr="00CA34F5">
        <w:rPr>
          <w:rFonts w:ascii="Arial" w:eastAsia="DIN Next LT Pro Condensed" w:hAnsi="Arial" w:cs="Arial"/>
          <w:spacing w:val="14"/>
        </w:rPr>
        <w:t xml:space="preserve"> </w:t>
      </w:r>
      <w:r w:rsidRPr="00CA34F5">
        <w:rPr>
          <w:rFonts w:ascii="Arial" w:eastAsia="DIN Next LT Pro Condensed" w:hAnsi="Arial" w:cs="Arial"/>
        </w:rPr>
        <w:t>razonable</w:t>
      </w:r>
      <w:r w:rsidRPr="00CA34F5">
        <w:rPr>
          <w:rFonts w:ascii="Arial" w:eastAsia="DIN Next LT Pro Condensed" w:hAnsi="Arial" w:cs="Arial"/>
          <w:spacing w:val="14"/>
        </w:rPr>
        <w:t xml:space="preserve"> </w:t>
      </w:r>
      <w:r w:rsidRPr="00CA34F5">
        <w:rPr>
          <w:rFonts w:ascii="Arial" w:eastAsia="DIN Next LT Pro Condensed" w:hAnsi="Arial" w:cs="Arial"/>
        </w:rPr>
        <w:t>acerca</w:t>
      </w:r>
      <w:r w:rsidRPr="00CA34F5">
        <w:rPr>
          <w:rFonts w:ascii="Arial" w:eastAsia="DIN Next LT Pro Condensed" w:hAnsi="Arial" w:cs="Arial"/>
          <w:spacing w:val="10"/>
        </w:rPr>
        <w:t xml:space="preserve"> </w:t>
      </w:r>
      <w:r w:rsidRPr="00CA34F5">
        <w:rPr>
          <w:rFonts w:ascii="Arial" w:eastAsia="DIN Next LT Pro Condensed" w:hAnsi="Arial" w:cs="Arial"/>
        </w:rPr>
        <w:t>del</w:t>
      </w:r>
      <w:r w:rsidRPr="00CA34F5">
        <w:rPr>
          <w:rFonts w:ascii="Arial" w:eastAsia="DIN Next LT Pro Condensed" w:hAnsi="Arial" w:cs="Arial"/>
          <w:spacing w:val="5"/>
        </w:rPr>
        <w:t xml:space="preserve"> </w:t>
      </w:r>
      <w:r w:rsidRPr="00CA34F5">
        <w:rPr>
          <w:rFonts w:ascii="Arial" w:eastAsia="DIN Next LT Pro Condensed" w:hAnsi="Arial" w:cs="Arial"/>
        </w:rPr>
        <w:t>logro</w:t>
      </w:r>
      <w:r w:rsidRPr="00CA34F5">
        <w:rPr>
          <w:rFonts w:ascii="Arial" w:eastAsia="DIN Next LT Pro Condensed" w:hAnsi="Arial" w:cs="Arial"/>
          <w:spacing w:val="8"/>
        </w:rPr>
        <w:t xml:space="preserve"> </w:t>
      </w:r>
      <w:r w:rsidRPr="00CA34F5">
        <w:rPr>
          <w:rFonts w:ascii="Arial" w:eastAsia="DIN Next LT Pro Condensed" w:hAnsi="Arial" w:cs="Arial"/>
        </w:rPr>
        <w:t>de</w:t>
      </w:r>
      <w:r w:rsidRPr="00CA34F5">
        <w:rPr>
          <w:rFonts w:ascii="Arial" w:eastAsia="DIN Next LT Pro Condensed" w:hAnsi="Arial" w:cs="Arial"/>
          <w:spacing w:val="4"/>
        </w:rPr>
        <w:t xml:space="preserve"> </w:t>
      </w:r>
      <w:r w:rsidRPr="00CA34F5">
        <w:rPr>
          <w:rFonts w:ascii="Arial" w:eastAsia="DIN Next LT Pro Condensed" w:hAnsi="Arial" w:cs="Arial"/>
        </w:rPr>
        <w:t>los</w:t>
      </w:r>
      <w:r w:rsidRPr="00CA34F5">
        <w:rPr>
          <w:rFonts w:ascii="Arial" w:eastAsia="DIN Next LT Pro Condensed" w:hAnsi="Arial" w:cs="Arial"/>
          <w:spacing w:val="5"/>
        </w:rPr>
        <w:t xml:space="preserve"> </w:t>
      </w:r>
      <w:r w:rsidRPr="00CA34F5">
        <w:rPr>
          <w:rFonts w:ascii="Arial" w:eastAsia="DIN Next LT Pro Condensed" w:hAnsi="Arial" w:cs="Arial"/>
        </w:rPr>
        <w:t>objetivos</w:t>
      </w:r>
      <w:r w:rsidRPr="00CA34F5">
        <w:rPr>
          <w:rFonts w:ascii="Arial" w:eastAsia="DIN Next LT Pro Condensed" w:hAnsi="Arial" w:cs="Arial"/>
          <w:spacing w:val="13"/>
        </w:rPr>
        <w:t xml:space="preserve"> </w:t>
      </w:r>
      <w:r w:rsidRPr="00CA34F5">
        <w:rPr>
          <w:rFonts w:ascii="Arial" w:eastAsia="DIN Next LT Pro Condensed" w:hAnsi="Arial" w:cs="Arial"/>
        </w:rPr>
        <w:t>en</w:t>
      </w:r>
      <w:r w:rsidRPr="00CA34F5">
        <w:rPr>
          <w:rFonts w:ascii="Arial" w:eastAsia="DIN Next LT Pro Condensed" w:hAnsi="Arial" w:cs="Arial"/>
          <w:spacing w:val="4"/>
        </w:rPr>
        <w:t xml:space="preserve"> </w:t>
      </w:r>
      <w:r w:rsidRPr="00CA34F5">
        <w:rPr>
          <w:rFonts w:ascii="Arial" w:eastAsia="DIN Next LT Pro Condensed" w:hAnsi="Arial" w:cs="Arial"/>
        </w:rPr>
        <w:t>los</w:t>
      </w:r>
      <w:r w:rsidRPr="00CA34F5">
        <w:rPr>
          <w:rFonts w:ascii="Arial" w:eastAsia="DIN Next LT Pro Condensed" w:hAnsi="Arial" w:cs="Arial"/>
          <w:spacing w:val="5"/>
        </w:rPr>
        <w:t xml:space="preserve"> </w:t>
      </w:r>
      <w:r w:rsidRPr="00CA34F5">
        <w:rPr>
          <w:rFonts w:ascii="Arial" w:eastAsia="DIN Next LT Pro Condensed" w:hAnsi="Arial" w:cs="Arial"/>
        </w:rPr>
        <w:t>aspectos</w:t>
      </w:r>
      <w:r w:rsidRPr="00CA34F5">
        <w:rPr>
          <w:rFonts w:ascii="Arial" w:eastAsia="DIN Next LT Pro Condensed" w:hAnsi="Arial" w:cs="Arial"/>
          <w:spacing w:val="13"/>
        </w:rPr>
        <w:t xml:space="preserve"> </w:t>
      </w:r>
      <w:r w:rsidRPr="00CA34F5">
        <w:rPr>
          <w:rFonts w:ascii="Arial" w:eastAsia="DIN Next LT Pro Condensed" w:hAnsi="Arial" w:cs="Arial"/>
          <w:w w:val="102"/>
        </w:rPr>
        <w:t>siguientes:</w:t>
      </w:r>
    </w:p>
    <w:p w14:paraId="6BCD47CE" w14:textId="77777777" w:rsidR="00910142" w:rsidRPr="00CA34F5" w:rsidRDefault="00910142" w:rsidP="000A4C31">
      <w:pPr>
        <w:spacing w:after="0" w:line="240" w:lineRule="auto"/>
        <w:ind w:right="74"/>
        <w:jc w:val="both"/>
        <w:rPr>
          <w:rFonts w:ascii="Arial" w:eastAsia="DIN Next LT Pro Condensed" w:hAnsi="Arial" w:cs="Arial"/>
          <w:w w:val="102"/>
        </w:rPr>
      </w:pPr>
    </w:p>
    <w:p w14:paraId="5E159C26" w14:textId="77777777" w:rsidR="005A7A13" w:rsidRPr="00CA34F5" w:rsidRDefault="005A7A13" w:rsidP="000A4C31">
      <w:pPr>
        <w:numPr>
          <w:ilvl w:val="0"/>
          <w:numId w:val="14"/>
        </w:numPr>
        <w:spacing w:after="0" w:line="240" w:lineRule="auto"/>
        <w:ind w:right="49"/>
        <w:contextualSpacing/>
        <w:jc w:val="both"/>
        <w:rPr>
          <w:rFonts w:ascii="Arial" w:eastAsia="DIN Next LT Pro Condensed" w:hAnsi="Arial" w:cs="Arial"/>
          <w:w w:val="102"/>
        </w:rPr>
      </w:pPr>
      <w:r w:rsidRPr="00CA34F5">
        <w:rPr>
          <w:rFonts w:ascii="Arial" w:eastAsia="DIN Next LT Pro Condensed" w:hAnsi="Arial" w:cs="Arial"/>
        </w:rPr>
        <w:t>Efectividad</w:t>
      </w:r>
      <w:r w:rsidRPr="00CA34F5">
        <w:rPr>
          <w:rFonts w:ascii="Arial" w:eastAsia="DIN Next LT Pro Condensed" w:hAnsi="Arial" w:cs="Arial"/>
          <w:spacing w:val="15"/>
        </w:rPr>
        <w:t xml:space="preserve"> </w:t>
      </w:r>
      <w:r w:rsidRPr="00CA34F5">
        <w:rPr>
          <w:rFonts w:ascii="Arial" w:eastAsia="DIN Next LT Pro Condensed" w:hAnsi="Arial" w:cs="Arial"/>
        </w:rPr>
        <w:t>y</w:t>
      </w:r>
      <w:r w:rsidRPr="00CA34F5">
        <w:rPr>
          <w:rFonts w:ascii="Arial" w:eastAsia="DIN Next LT Pro Condensed" w:hAnsi="Arial" w:cs="Arial"/>
          <w:spacing w:val="2"/>
        </w:rPr>
        <w:t xml:space="preserve"> </w:t>
      </w:r>
      <w:r w:rsidRPr="00CA34F5">
        <w:rPr>
          <w:rFonts w:ascii="Arial" w:eastAsia="DIN Next LT Pro Condensed" w:hAnsi="Arial" w:cs="Arial"/>
        </w:rPr>
        <w:t>eficiencia</w:t>
      </w:r>
      <w:r w:rsidRPr="00CA34F5">
        <w:rPr>
          <w:rFonts w:ascii="Arial" w:eastAsia="DIN Next LT Pro Condensed" w:hAnsi="Arial" w:cs="Arial"/>
          <w:spacing w:val="14"/>
        </w:rPr>
        <w:t xml:space="preserve"> </w:t>
      </w:r>
      <w:r w:rsidRPr="00CA34F5">
        <w:rPr>
          <w:rFonts w:ascii="Arial" w:eastAsia="DIN Next LT Pro Condensed" w:hAnsi="Arial" w:cs="Arial"/>
        </w:rPr>
        <w:t>en</w:t>
      </w:r>
      <w:r w:rsidRPr="00CA34F5">
        <w:rPr>
          <w:rFonts w:ascii="Arial" w:eastAsia="DIN Next LT Pro Condensed" w:hAnsi="Arial" w:cs="Arial"/>
          <w:spacing w:val="4"/>
        </w:rPr>
        <w:t xml:space="preserve"> </w:t>
      </w:r>
      <w:r w:rsidRPr="00CA34F5">
        <w:rPr>
          <w:rFonts w:ascii="Arial" w:eastAsia="DIN Next LT Pro Condensed" w:hAnsi="Arial" w:cs="Arial"/>
        </w:rPr>
        <w:t>las</w:t>
      </w:r>
      <w:r w:rsidRPr="00CA34F5">
        <w:rPr>
          <w:rFonts w:ascii="Arial" w:eastAsia="DIN Next LT Pro Condensed" w:hAnsi="Arial" w:cs="Arial"/>
          <w:spacing w:val="5"/>
        </w:rPr>
        <w:t xml:space="preserve"> </w:t>
      </w:r>
      <w:r w:rsidRPr="00CA34F5">
        <w:rPr>
          <w:rFonts w:ascii="Arial" w:eastAsia="DIN Next LT Pro Condensed" w:hAnsi="Arial" w:cs="Arial"/>
        </w:rPr>
        <w:t>operaciones</w:t>
      </w:r>
      <w:r w:rsidRPr="00CA34F5">
        <w:rPr>
          <w:rFonts w:ascii="Arial" w:eastAsia="DIN Next LT Pro Condensed" w:hAnsi="Arial" w:cs="Arial"/>
          <w:spacing w:val="17"/>
        </w:rPr>
        <w:t xml:space="preserve"> </w:t>
      </w:r>
      <w:r w:rsidRPr="00CA34F5">
        <w:rPr>
          <w:rFonts w:ascii="Arial" w:eastAsia="DIN Next LT Pro Condensed" w:hAnsi="Arial" w:cs="Arial"/>
        </w:rPr>
        <w:t>Confiabilidad</w:t>
      </w:r>
      <w:r w:rsidRPr="00CA34F5">
        <w:rPr>
          <w:rFonts w:ascii="Arial" w:eastAsia="DIN Next LT Pro Condensed" w:hAnsi="Arial" w:cs="Arial"/>
          <w:spacing w:val="18"/>
        </w:rPr>
        <w:t xml:space="preserve"> </w:t>
      </w:r>
      <w:r w:rsidRPr="00CA34F5">
        <w:rPr>
          <w:rFonts w:ascii="Arial" w:eastAsia="DIN Next LT Pro Condensed" w:hAnsi="Arial" w:cs="Arial"/>
        </w:rPr>
        <w:t>en</w:t>
      </w:r>
      <w:r w:rsidRPr="00CA34F5">
        <w:rPr>
          <w:rFonts w:ascii="Arial" w:eastAsia="DIN Next LT Pro Condensed" w:hAnsi="Arial" w:cs="Arial"/>
          <w:spacing w:val="4"/>
        </w:rPr>
        <w:t xml:space="preserve"> </w:t>
      </w:r>
      <w:r w:rsidRPr="00CA34F5">
        <w:rPr>
          <w:rFonts w:ascii="Arial" w:eastAsia="DIN Next LT Pro Condensed" w:hAnsi="Arial" w:cs="Arial"/>
        </w:rPr>
        <w:t>los</w:t>
      </w:r>
      <w:r w:rsidRPr="00CA34F5">
        <w:rPr>
          <w:rFonts w:ascii="Arial" w:eastAsia="DIN Next LT Pro Condensed" w:hAnsi="Arial" w:cs="Arial"/>
          <w:spacing w:val="5"/>
        </w:rPr>
        <w:t xml:space="preserve"> </w:t>
      </w:r>
      <w:r w:rsidRPr="00CA34F5">
        <w:rPr>
          <w:rFonts w:ascii="Arial" w:eastAsia="DIN Next LT Pro Condensed" w:hAnsi="Arial" w:cs="Arial"/>
        </w:rPr>
        <w:t>reportes</w:t>
      </w:r>
      <w:r w:rsidRPr="00CA34F5">
        <w:rPr>
          <w:rFonts w:ascii="Arial" w:eastAsia="DIN Next LT Pro Condensed" w:hAnsi="Arial" w:cs="Arial"/>
          <w:spacing w:val="12"/>
        </w:rPr>
        <w:t xml:space="preserve"> </w:t>
      </w:r>
      <w:r w:rsidRPr="00CA34F5">
        <w:rPr>
          <w:rFonts w:ascii="Arial" w:eastAsia="DIN Next LT Pro Condensed" w:hAnsi="Arial" w:cs="Arial"/>
          <w:w w:val="102"/>
        </w:rPr>
        <w:t>financieros</w:t>
      </w:r>
    </w:p>
    <w:p w14:paraId="7E14480D" w14:textId="77777777" w:rsidR="005A7A13" w:rsidRPr="00CA34F5" w:rsidRDefault="005A7A13" w:rsidP="000A4C31">
      <w:pPr>
        <w:numPr>
          <w:ilvl w:val="0"/>
          <w:numId w:val="14"/>
        </w:numPr>
        <w:spacing w:after="0" w:line="240" w:lineRule="auto"/>
        <w:ind w:right="8003"/>
        <w:contextualSpacing/>
        <w:jc w:val="both"/>
        <w:rPr>
          <w:rFonts w:ascii="Arial" w:eastAsia="DIN Next LT Pro Condensed" w:hAnsi="Arial" w:cs="Arial"/>
          <w:w w:val="102"/>
        </w:rPr>
      </w:pPr>
      <w:r w:rsidRPr="00CA34F5">
        <w:rPr>
          <w:rFonts w:ascii="Arial" w:eastAsia="DIN Next LT Pro Condensed" w:hAnsi="Arial" w:cs="Arial"/>
        </w:rPr>
        <w:t>Protección</w:t>
      </w:r>
      <w:r w:rsidRPr="00CA34F5">
        <w:rPr>
          <w:rFonts w:ascii="Arial" w:eastAsia="DIN Next LT Pro Condensed" w:hAnsi="Arial" w:cs="Arial"/>
          <w:spacing w:val="15"/>
        </w:rPr>
        <w:t xml:space="preserve"> </w:t>
      </w:r>
      <w:r w:rsidRPr="00CA34F5">
        <w:rPr>
          <w:rFonts w:ascii="Arial" w:eastAsia="DIN Next LT Pro Condensed" w:hAnsi="Arial" w:cs="Arial"/>
        </w:rPr>
        <w:t>de</w:t>
      </w:r>
      <w:r w:rsidRPr="00CA34F5">
        <w:rPr>
          <w:rFonts w:ascii="Arial" w:eastAsia="DIN Next LT Pro Condensed" w:hAnsi="Arial" w:cs="Arial"/>
          <w:spacing w:val="4"/>
        </w:rPr>
        <w:t xml:space="preserve"> </w:t>
      </w:r>
      <w:r w:rsidRPr="00CA34F5">
        <w:rPr>
          <w:rFonts w:ascii="Arial" w:eastAsia="DIN Next LT Pro Condensed" w:hAnsi="Arial" w:cs="Arial"/>
          <w:w w:val="102"/>
        </w:rPr>
        <w:t>activos</w:t>
      </w:r>
    </w:p>
    <w:p w14:paraId="6B1D0A4A" w14:textId="77777777" w:rsidR="005A7A13" w:rsidRPr="00CA34F5" w:rsidRDefault="005A7A13" w:rsidP="000A4C31">
      <w:pPr>
        <w:numPr>
          <w:ilvl w:val="0"/>
          <w:numId w:val="14"/>
        </w:numPr>
        <w:spacing w:after="0" w:line="240" w:lineRule="auto"/>
        <w:ind w:right="81"/>
        <w:contextualSpacing/>
        <w:jc w:val="both"/>
        <w:rPr>
          <w:rFonts w:ascii="Arial" w:hAnsi="Arial" w:cs="Arial"/>
        </w:rPr>
      </w:pPr>
      <w:r w:rsidRPr="00CA34F5">
        <w:rPr>
          <w:rFonts w:ascii="Arial" w:eastAsia="DIN Next LT Pro Condensed" w:hAnsi="Arial" w:cs="Arial"/>
        </w:rPr>
        <w:t>Cumplimiento de las</w:t>
      </w:r>
      <w:r w:rsidRPr="00CA34F5">
        <w:rPr>
          <w:rFonts w:ascii="Arial" w:eastAsia="DIN Next LT Pro Condensed" w:hAnsi="Arial" w:cs="Arial"/>
          <w:spacing w:val="10"/>
        </w:rPr>
        <w:t xml:space="preserve"> </w:t>
      </w:r>
      <w:r w:rsidRPr="00CA34F5">
        <w:rPr>
          <w:rFonts w:ascii="Arial" w:eastAsia="DIN Next LT Pro Condensed" w:hAnsi="Arial" w:cs="Arial"/>
        </w:rPr>
        <w:t>leyes</w:t>
      </w:r>
      <w:r w:rsidRPr="00CA34F5">
        <w:rPr>
          <w:rFonts w:ascii="Arial" w:eastAsia="DIN Next LT Pro Condensed" w:hAnsi="Arial" w:cs="Arial"/>
          <w:spacing w:val="13"/>
        </w:rPr>
        <w:t xml:space="preserve"> </w:t>
      </w:r>
      <w:r w:rsidRPr="00CA34F5">
        <w:rPr>
          <w:rFonts w:ascii="Arial" w:eastAsia="DIN Next LT Pro Condensed" w:hAnsi="Arial" w:cs="Arial"/>
        </w:rPr>
        <w:t>aplicables</w:t>
      </w:r>
      <w:r w:rsidRPr="00CA34F5">
        <w:rPr>
          <w:rFonts w:ascii="Arial" w:eastAsia="DIN Next LT Pro Condensed" w:hAnsi="Arial" w:cs="Arial"/>
          <w:spacing w:val="19"/>
        </w:rPr>
        <w:t xml:space="preserve"> </w:t>
      </w:r>
      <w:r w:rsidRPr="00CA34F5">
        <w:rPr>
          <w:rFonts w:ascii="Arial" w:eastAsia="DIN Next LT Pro Condensed" w:hAnsi="Arial" w:cs="Arial"/>
        </w:rPr>
        <w:t>y</w:t>
      </w:r>
      <w:r w:rsidRPr="00CA34F5">
        <w:rPr>
          <w:rFonts w:ascii="Arial" w:eastAsia="DIN Next LT Pro Condensed" w:hAnsi="Arial" w:cs="Arial"/>
          <w:spacing w:val="7"/>
        </w:rPr>
        <w:t xml:space="preserve"> </w:t>
      </w:r>
      <w:r w:rsidRPr="00CA34F5">
        <w:rPr>
          <w:rFonts w:ascii="Arial" w:eastAsia="DIN Next LT Pro Condensed" w:hAnsi="Arial" w:cs="Arial"/>
        </w:rPr>
        <w:t>las</w:t>
      </w:r>
      <w:r w:rsidRPr="00CA34F5">
        <w:rPr>
          <w:rFonts w:ascii="Arial" w:eastAsia="DIN Next LT Pro Condensed" w:hAnsi="Arial" w:cs="Arial"/>
          <w:spacing w:val="10"/>
        </w:rPr>
        <w:t xml:space="preserve"> </w:t>
      </w:r>
      <w:r w:rsidRPr="00CA34F5">
        <w:rPr>
          <w:rFonts w:ascii="Arial" w:eastAsia="DIN Next LT Pro Condensed" w:hAnsi="Arial" w:cs="Arial"/>
        </w:rPr>
        <w:t>normas</w:t>
      </w:r>
      <w:r w:rsidRPr="00CA34F5">
        <w:rPr>
          <w:rFonts w:ascii="Arial" w:eastAsia="DIN Next LT Pro Condensed" w:hAnsi="Arial" w:cs="Arial"/>
          <w:spacing w:val="16"/>
        </w:rPr>
        <w:t xml:space="preserve"> </w:t>
      </w:r>
      <w:r w:rsidRPr="00CA34F5">
        <w:rPr>
          <w:rFonts w:ascii="Arial" w:eastAsia="DIN Next LT Pro Condensed" w:hAnsi="Arial" w:cs="Arial"/>
        </w:rPr>
        <w:t>correspondientes.</w:t>
      </w:r>
      <w:r w:rsidRPr="00CA34F5">
        <w:rPr>
          <w:rFonts w:ascii="Arial" w:eastAsia="DIN Next LT Pro Condensed" w:hAnsi="Arial" w:cs="Arial"/>
          <w:spacing w:val="30"/>
        </w:rPr>
        <w:t xml:space="preserve"> </w:t>
      </w:r>
      <w:r w:rsidRPr="00CA34F5">
        <w:rPr>
          <w:rFonts w:ascii="Arial" w:eastAsia="DIN Next LT Pro Condensed" w:hAnsi="Arial" w:cs="Arial"/>
        </w:rPr>
        <w:t>Los</w:t>
      </w:r>
      <w:r w:rsidRPr="00CA34F5">
        <w:rPr>
          <w:rFonts w:ascii="Arial" w:eastAsia="DIN Next LT Pro Condensed" w:hAnsi="Arial" w:cs="Arial"/>
          <w:spacing w:val="11"/>
        </w:rPr>
        <w:t xml:space="preserve"> </w:t>
      </w:r>
      <w:r w:rsidRPr="00CA34F5">
        <w:rPr>
          <w:rFonts w:ascii="Arial" w:eastAsia="DIN Next LT Pro Condensed" w:hAnsi="Arial" w:cs="Arial"/>
        </w:rPr>
        <w:t>Entes</w:t>
      </w:r>
      <w:r w:rsidRPr="00CA34F5">
        <w:rPr>
          <w:rFonts w:ascii="Arial" w:eastAsia="DIN Next LT Pro Condensed" w:hAnsi="Arial" w:cs="Arial"/>
          <w:spacing w:val="13"/>
        </w:rPr>
        <w:t xml:space="preserve"> </w:t>
      </w:r>
      <w:r w:rsidRPr="00CA34F5">
        <w:rPr>
          <w:rFonts w:ascii="Arial" w:eastAsia="DIN Next LT Pro Condensed" w:hAnsi="Arial" w:cs="Arial"/>
        </w:rPr>
        <w:t>Públicos</w:t>
      </w:r>
      <w:r w:rsidRPr="00CA34F5">
        <w:rPr>
          <w:rFonts w:ascii="Arial" w:eastAsia="DIN Next LT Pro Condensed" w:hAnsi="Arial" w:cs="Arial"/>
          <w:spacing w:val="17"/>
        </w:rPr>
        <w:t xml:space="preserve"> </w:t>
      </w:r>
      <w:r w:rsidRPr="00CA34F5">
        <w:rPr>
          <w:rFonts w:ascii="Arial" w:eastAsia="DIN Next LT Pro Condensed" w:hAnsi="Arial" w:cs="Arial"/>
        </w:rPr>
        <w:t>han</w:t>
      </w:r>
      <w:r w:rsidRPr="00CA34F5">
        <w:rPr>
          <w:rFonts w:ascii="Arial" w:eastAsia="DIN Next LT Pro Condensed" w:hAnsi="Arial" w:cs="Arial"/>
          <w:spacing w:val="11"/>
        </w:rPr>
        <w:t xml:space="preserve"> </w:t>
      </w:r>
      <w:r w:rsidRPr="00CA34F5">
        <w:rPr>
          <w:rFonts w:ascii="Arial" w:eastAsia="DIN Next LT Pro Condensed" w:hAnsi="Arial" w:cs="Arial"/>
        </w:rPr>
        <w:t>adoptado</w:t>
      </w:r>
      <w:r w:rsidRPr="00CA34F5">
        <w:rPr>
          <w:rFonts w:ascii="Arial" w:eastAsia="DIN Next LT Pro Condensed" w:hAnsi="Arial" w:cs="Arial"/>
          <w:spacing w:val="18"/>
        </w:rPr>
        <w:t xml:space="preserve"> </w:t>
      </w:r>
      <w:r w:rsidRPr="00CA34F5">
        <w:rPr>
          <w:rFonts w:ascii="Arial" w:eastAsia="DIN Next LT Pro Condensed" w:hAnsi="Arial" w:cs="Arial"/>
        </w:rPr>
        <w:t>criterios</w:t>
      </w:r>
      <w:r w:rsidRPr="00CA34F5">
        <w:rPr>
          <w:rFonts w:ascii="Arial" w:eastAsia="DIN Next LT Pro Condensed" w:hAnsi="Arial" w:cs="Arial"/>
          <w:spacing w:val="17"/>
        </w:rPr>
        <w:t xml:space="preserve"> </w:t>
      </w:r>
      <w:r w:rsidRPr="00CA34F5">
        <w:rPr>
          <w:rFonts w:ascii="Arial" w:eastAsia="DIN Next LT Pro Condensed" w:hAnsi="Arial" w:cs="Arial"/>
        </w:rPr>
        <w:t>para</w:t>
      </w:r>
      <w:r w:rsidRPr="00CA34F5">
        <w:rPr>
          <w:rFonts w:ascii="Arial" w:eastAsia="DIN Next LT Pro Condensed" w:hAnsi="Arial" w:cs="Arial"/>
          <w:spacing w:val="12"/>
        </w:rPr>
        <w:t xml:space="preserve"> </w:t>
      </w:r>
      <w:r w:rsidRPr="00CA34F5">
        <w:rPr>
          <w:rFonts w:ascii="Arial" w:eastAsia="DIN Next LT Pro Condensed" w:hAnsi="Arial" w:cs="Arial"/>
        </w:rPr>
        <w:t>la</w:t>
      </w:r>
      <w:r w:rsidRPr="00CA34F5">
        <w:rPr>
          <w:rFonts w:ascii="Arial" w:eastAsia="DIN Next LT Pro Condensed" w:hAnsi="Arial" w:cs="Arial"/>
          <w:spacing w:val="8"/>
        </w:rPr>
        <w:t xml:space="preserve"> </w:t>
      </w:r>
      <w:r w:rsidRPr="00CA34F5">
        <w:rPr>
          <w:rFonts w:ascii="Arial" w:eastAsia="DIN Next LT Pro Condensed" w:hAnsi="Arial" w:cs="Arial"/>
        </w:rPr>
        <w:t>aplicación</w:t>
      </w:r>
      <w:r w:rsidRPr="00CA34F5">
        <w:rPr>
          <w:rFonts w:ascii="Arial" w:eastAsia="DIN Next LT Pro Condensed" w:hAnsi="Arial" w:cs="Arial"/>
          <w:spacing w:val="19"/>
        </w:rPr>
        <w:t xml:space="preserve"> </w:t>
      </w:r>
      <w:r w:rsidRPr="00CA34F5">
        <w:rPr>
          <w:rFonts w:ascii="Arial" w:eastAsia="DIN Next LT Pro Condensed" w:hAnsi="Arial" w:cs="Arial"/>
        </w:rPr>
        <w:t>de</w:t>
      </w:r>
      <w:r w:rsidRPr="00CA34F5">
        <w:rPr>
          <w:rFonts w:ascii="Arial" w:eastAsia="DIN Next LT Pro Condensed" w:hAnsi="Arial" w:cs="Arial"/>
          <w:spacing w:val="9"/>
        </w:rPr>
        <w:t xml:space="preserve"> </w:t>
      </w:r>
      <w:r w:rsidRPr="00CA34F5">
        <w:rPr>
          <w:rFonts w:ascii="Arial" w:eastAsia="DIN Next LT Pro Condensed" w:hAnsi="Arial" w:cs="Arial"/>
        </w:rPr>
        <w:t>esta</w:t>
      </w:r>
      <w:r w:rsidRPr="00CA34F5">
        <w:rPr>
          <w:rFonts w:ascii="Arial" w:eastAsia="DIN Next LT Pro Condensed" w:hAnsi="Arial" w:cs="Arial"/>
          <w:spacing w:val="12"/>
        </w:rPr>
        <w:t xml:space="preserve"> </w:t>
      </w:r>
      <w:r w:rsidRPr="00CA34F5">
        <w:rPr>
          <w:rFonts w:ascii="Arial" w:eastAsia="DIN Next LT Pro Condensed" w:hAnsi="Arial" w:cs="Arial"/>
        </w:rPr>
        <w:t>política,</w:t>
      </w:r>
      <w:r w:rsidRPr="00CA34F5">
        <w:rPr>
          <w:rFonts w:ascii="Arial" w:eastAsia="DIN Next LT Pro Condensed" w:hAnsi="Arial" w:cs="Arial"/>
          <w:spacing w:val="17"/>
        </w:rPr>
        <w:t xml:space="preserve"> </w:t>
      </w:r>
      <w:r w:rsidRPr="00CA34F5">
        <w:rPr>
          <w:rFonts w:ascii="Arial" w:eastAsia="DIN Next LT Pro Condensed" w:hAnsi="Arial" w:cs="Arial"/>
        </w:rPr>
        <w:t>a</w:t>
      </w:r>
      <w:r w:rsidRPr="00CA34F5">
        <w:rPr>
          <w:rFonts w:ascii="Arial" w:eastAsia="DIN Next LT Pro Condensed" w:hAnsi="Arial" w:cs="Arial"/>
          <w:spacing w:val="8"/>
        </w:rPr>
        <w:t xml:space="preserve"> </w:t>
      </w:r>
      <w:r w:rsidRPr="00CA34F5">
        <w:rPr>
          <w:rFonts w:ascii="Arial" w:eastAsia="DIN Next LT Pro Condensed" w:hAnsi="Arial" w:cs="Arial"/>
        </w:rPr>
        <w:t>través</w:t>
      </w:r>
      <w:r w:rsidRPr="00CA34F5">
        <w:rPr>
          <w:rFonts w:ascii="Arial" w:eastAsia="DIN Next LT Pro Condensed" w:hAnsi="Arial" w:cs="Arial"/>
          <w:spacing w:val="14"/>
        </w:rPr>
        <w:t xml:space="preserve"> </w:t>
      </w:r>
      <w:r w:rsidRPr="00CA34F5">
        <w:rPr>
          <w:rFonts w:ascii="Arial" w:eastAsia="DIN Next LT Pro Condensed" w:hAnsi="Arial" w:cs="Arial"/>
        </w:rPr>
        <w:t>del</w:t>
      </w:r>
      <w:r w:rsidRPr="00CA34F5">
        <w:rPr>
          <w:rFonts w:ascii="Arial" w:eastAsia="DIN Next LT Pro Condensed" w:hAnsi="Arial" w:cs="Arial"/>
          <w:spacing w:val="10"/>
        </w:rPr>
        <w:t xml:space="preserve"> </w:t>
      </w:r>
      <w:r w:rsidRPr="00CA34F5">
        <w:rPr>
          <w:rFonts w:ascii="Arial" w:eastAsia="DIN Next LT Pro Condensed" w:hAnsi="Arial" w:cs="Arial"/>
        </w:rPr>
        <w:t>autocontrol,</w:t>
      </w:r>
      <w:r w:rsidRPr="00CA34F5">
        <w:rPr>
          <w:rFonts w:ascii="Arial" w:eastAsia="DIN Next LT Pro Condensed" w:hAnsi="Arial" w:cs="Arial"/>
          <w:spacing w:val="22"/>
        </w:rPr>
        <w:t xml:space="preserve"> </w:t>
      </w:r>
      <w:r w:rsidRPr="00CA34F5">
        <w:rPr>
          <w:rFonts w:ascii="Arial" w:eastAsia="DIN Next LT Pro Condensed" w:hAnsi="Arial" w:cs="Arial"/>
        </w:rPr>
        <w:t>el</w:t>
      </w:r>
      <w:r w:rsidRPr="00CA34F5">
        <w:rPr>
          <w:rFonts w:ascii="Arial" w:eastAsia="DIN Next LT Pro Condensed" w:hAnsi="Arial" w:cs="Arial"/>
          <w:spacing w:val="8"/>
        </w:rPr>
        <w:t xml:space="preserve"> </w:t>
      </w:r>
      <w:r w:rsidRPr="00CA34F5">
        <w:rPr>
          <w:rFonts w:ascii="Arial" w:eastAsia="DIN Next LT Pro Condensed" w:hAnsi="Arial" w:cs="Arial"/>
        </w:rPr>
        <w:t>cual</w:t>
      </w:r>
      <w:r w:rsidRPr="00CA34F5">
        <w:rPr>
          <w:rFonts w:ascii="Arial" w:eastAsia="DIN Next LT Pro Condensed" w:hAnsi="Arial" w:cs="Arial"/>
          <w:spacing w:val="12"/>
        </w:rPr>
        <w:t xml:space="preserve"> </w:t>
      </w:r>
      <w:r w:rsidRPr="00CA34F5">
        <w:rPr>
          <w:rFonts w:ascii="Arial" w:eastAsia="DIN Next LT Pro Condensed" w:hAnsi="Arial" w:cs="Arial"/>
        </w:rPr>
        <w:t>consiste</w:t>
      </w:r>
      <w:r w:rsidRPr="00CA34F5">
        <w:rPr>
          <w:rFonts w:ascii="Arial" w:eastAsia="DIN Next LT Pro Condensed" w:hAnsi="Arial" w:cs="Arial"/>
          <w:spacing w:val="17"/>
        </w:rPr>
        <w:t xml:space="preserve"> </w:t>
      </w:r>
      <w:r w:rsidRPr="00CA34F5">
        <w:rPr>
          <w:rFonts w:ascii="Arial" w:eastAsia="DIN Next LT Pro Condensed" w:hAnsi="Arial" w:cs="Arial"/>
        </w:rPr>
        <w:t>en</w:t>
      </w:r>
      <w:r w:rsidRPr="00CA34F5">
        <w:rPr>
          <w:rFonts w:ascii="Arial" w:eastAsia="DIN Next LT Pro Condensed" w:hAnsi="Arial" w:cs="Arial"/>
          <w:spacing w:val="9"/>
        </w:rPr>
        <w:t xml:space="preserve"> </w:t>
      </w:r>
      <w:r w:rsidRPr="00CA34F5">
        <w:rPr>
          <w:rFonts w:ascii="Arial" w:eastAsia="DIN Next LT Pro Condensed" w:hAnsi="Arial" w:cs="Arial"/>
        </w:rPr>
        <w:t>que</w:t>
      </w:r>
      <w:r w:rsidRPr="00CA34F5">
        <w:rPr>
          <w:rFonts w:ascii="Arial" w:eastAsia="DIN Next LT Pro Condensed" w:hAnsi="Arial" w:cs="Arial"/>
          <w:spacing w:val="11"/>
        </w:rPr>
        <w:t xml:space="preserve"> </w:t>
      </w:r>
      <w:r w:rsidRPr="00CA34F5">
        <w:rPr>
          <w:rFonts w:ascii="Arial" w:eastAsia="DIN Next LT Pro Condensed" w:hAnsi="Arial" w:cs="Arial"/>
          <w:w w:val="102"/>
        </w:rPr>
        <w:t xml:space="preserve">los </w:t>
      </w:r>
      <w:r w:rsidRPr="00CA34F5">
        <w:rPr>
          <w:rFonts w:ascii="Arial" w:eastAsia="DIN Next LT Pro Condensed" w:hAnsi="Arial" w:cs="Arial"/>
        </w:rPr>
        <w:t>trabajadores</w:t>
      </w:r>
      <w:r w:rsidRPr="00CA34F5">
        <w:rPr>
          <w:rFonts w:ascii="Arial" w:eastAsia="DIN Next LT Pro Condensed" w:hAnsi="Arial" w:cs="Arial"/>
          <w:spacing w:val="25"/>
        </w:rPr>
        <w:t xml:space="preserve"> </w:t>
      </w:r>
      <w:r w:rsidRPr="00CA34F5">
        <w:rPr>
          <w:rFonts w:ascii="Arial" w:eastAsia="DIN Next LT Pro Condensed" w:hAnsi="Arial" w:cs="Arial"/>
        </w:rPr>
        <w:t>deben</w:t>
      </w:r>
      <w:r w:rsidRPr="00CA34F5">
        <w:rPr>
          <w:rFonts w:ascii="Arial" w:eastAsia="DIN Next LT Pro Condensed" w:hAnsi="Arial" w:cs="Arial"/>
          <w:spacing w:val="16"/>
        </w:rPr>
        <w:t xml:space="preserve"> </w:t>
      </w:r>
      <w:r w:rsidRPr="00CA34F5">
        <w:rPr>
          <w:rFonts w:ascii="Arial" w:eastAsia="DIN Next LT Pro Condensed" w:hAnsi="Arial" w:cs="Arial"/>
        </w:rPr>
        <w:t>ejecutar</w:t>
      </w:r>
      <w:r w:rsidRPr="00CA34F5">
        <w:rPr>
          <w:rFonts w:ascii="Arial" w:eastAsia="DIN Next LT Pro Condensed" w:hAnsi="Arial" w:cs="Arial"/>
          <w:spacing w:val="19"/>
        </w:rPr>
        <w:t xml:space="preserve"> </w:t>
      </w:r>
      <w:r w:rsidRPr="00CA34F5">
        <w:rPr>
          <w:rFonts w:ascii="Arial" w:eastAsia="DIN Next LT Pro Condensed" w:hAnsi="Arial" w:cs="Arial"/>
        </w:rPr>
        <w:t>en</w:t>
      </w:r>
      <w:r w:rsidRPr="00CA34F5">
        <w:rPr>
          <w:rFonts w:ascii="Arial" w:eastAsia="DIN Next LT Pro Condensed" w:hAnsi="Arial" w:cs="Arial"/>
          <w:spacing w:val="11"/>
        </w:rPr>
        <w:t xml:space="preserve"> </w:t>
      </w:r>
      <w:r w:rsidRPr="00CA34F5">
        <w:rPr>
          <w:rFonts w:ascii="Arial" w:eastAsia="DIN Next LT Pro Condensed" w:hAnsi="Arial" w:cs="Arial"/>
        </w:rPr>
        <w:t>forma</w:t>
      </w:r>
      <w:r w:rsidRPr="00CA34F5">
        <w:rPr>
          <w:rFonts w:ascii="Arial" w:eastAsia="DIN Next LT Pro Condensed" w:hAnsi="Arial" w:cs="Arial"/>
          <w:spacing w:val="16"/>
        </w:rPr>
        <w:t xml:space="preserve"> </w:t>
      </w:r>
      <w:r w:rsidRPr="00CA34F5">
        <w:rPr>
          <w:rFonts w:ascii="Arial" w:eastAsia="DIN Next LT Pro Condensed" w:hAnsi="Arial" w:cs="Arial"/>
        </w:rPr>
        <w:t>efectiva</w:t>
      </w:r>
      <w:r w:rsidRPr="00CA34F5">
        <w:rPr>
          <w:rFonts w:ascii="Arial" w:eastAsia="DIN Next LT Pro Condensed" w:hAnsi="Arial" w:cs="Arial"/>
          <w:spacing w:val="18"/>
        </w:rPr>
        <w:t xml:space="preserve"> </w:t>
      </w:r>
      <w:r w:rsidRPr="00CA34F5">
        <w:rPr>
          <w:rFonts w:ascii="Arial" w:eastAsia="DIN Next LT Pro Condensed" w:hAnsi="Arial" w:cs="Arial"/>
        </w:rPr>
        <w:t>y</w:t>
      </w:r>
      <w:r w:rsidRPr="00CA34F5">
        <w:rPr>
          <w:rFonts w:ascii="Arial" w:eastAsia="DIN Next LT Pro Condensed" w:hAnsi="Arial" w:cs="Arial"/>
          <w:spacing w:val="9"/>
        </w:rPr>
        <w:t xml:space="preserve"> </w:t>
      </w:r>
      <w:r w:rsidRPr="00CA34F5">
        <w:rPr>
          <w:rFonts w:ascii="Arial" w:eastAsia="DIN Next LT Pro Condensed" w:hAnsi="Arial" w:cs="Arial"/>
        </w:rPr>
        <w:t>eficiente</w:t>
      </w:r>
      <w:r w:rsidRPr="00CA34F5">
        <w:rPr>
          <w:rFonts w:ascii="Arial" w:eastAsia="DIN Next LT Pro Condensed" w:hAnsi="Arial" w:cs="Arial"/>
          <w:spacing w:val="19"/>
        </w:rPr>
        <w:t xml:space="preserve"> </w:t>
      </w:r>
      <w:r w:rsidRPr="00CA34F5">
        <w:rPr>
          <w:rFonts w:ascii="Arial" w:eastAsia="DIN Next LT Pro Condensed" w:hAnsi="Arial" w:cs="Arial"/>
        </w:rPr>
        <w:t>las</w:t>
      </w:r>
      <w:r w:rsidRPr="00CA34F5">
        <w:rPr>
          <w:rFonts w:ascii="Arial" w:eastAsia="DIN Next LT Pro Condensed" w:hAnsi="Arial" w:cs="Arial"/>
          <w:spacing w:val="12"/>
        </w:rPr>
        <w:t xml:space="preserve"> </w:t>
      </w:r>
      <w:r w:rsidRPr="00CA34F5">
        <w:rPr>
          <w:rFonts w:ascii="Arial" w:eastAsia="DIN Next LT Pro Condensed" w:hAnsi="Arial" w:cs="Arial"/>
        </w:rPr>
        <w:t>actividades</w:t>
      </w:r>
      <w:r w:rsidRPr="00CA34F5">
        <w:rPr>
          <w:rFonts w:ascii="Arial" w:eastAsia="DIN Next LT Pro Condensed" w:hAnsi="Arial" w:cs="Arial"/>
          <w:spacing w:val="23"/>
        </w:rPr>
        <w:t xml:space="preserve"> </w:t>
      </w:r>
      <w:r w:rsidRPr="00CA34F5">
        <w:rPr>
          <w:rFonts w:ascii="Arial" w:eastAsia="DIN Next LT Pro Condensed" w:hAnsi="Arial" w:cs="Arial"/>
        </w:rPr>
        <w:t>y</w:t>
      </w:r>
      <w:r w:rsidRPr="00CA34F5">
        <w:rPr>
          <w:rFonts w:ascii="Arial" w:eastAsia="DIN Next LT Pro Condensed" w:hAnsi="Arial" w:cs="Arial"/>
          <w:spacing w:val="9"/>
        </w:rPr>
        <w:t xml:space="preserve"> </w:t>
      </w:r>
      <w:r w:rsidRPr="00CA34F5">
        <w:rPr>
          <w:rFonts w:ascii="Arial" w:eastAsia="DIN Next LT Pro Condensed" w:hAnsi="Arial" w:cs="Arial"/>
        </w:rPr>
        <w:t>procesos</w:t>
      </w:r>
      <w:r w:rsidRPr="00CA34F5">
        <w:rPr>
          <w:rFonts w:ascii="Arial" w:eastAsia="DIN Next LT Pro Condensed" w:hAnsi="Arial" w:cs="Arial"/>
          <w:spacing w:val="20"/>
        </w:rPr>
        <w:t xml:space="preserve"> </w:t>
      </w:r>
      <w:r w:rsidRPr="00CA34F5">
        <w:rPr>
          <w:rFonts w:ascii="Arial" w:eastAsia="DIN Next LT Pro Condensed" w:hAnsi="Arial" w:cs="Arial"/>
        </w:rPr>
        <w:t>que</w:t>
      </w:r>
      <w:r w:rsidRPr="00CA34F5">
        <w:rPr>
          <w:rFonts w:ascii="Arial" w:eastAsia="DIN Next LT Pro Condensed" w:hAnsi="Arial" w:cs="Arial"/>
          <w:spacing w:val="13"/>
        </w:rPr>
        <w:t xml:space="preserve"> </w:t>
      </w:r>
      <w:r w:rsidRPr="00CA34F5">
        <w:rPr>
          <w:rFonts w:ascii="Arial" w:eastAsia="DIN Next LT Pro Condensed" w:hAnsi="Arial" w:cs="Arial"/>
        </w:rPr>
        <w:t>cada</w:t>
      </w:r>
      <w:r w:rsidRPr="00CA34F5">
        <w:rPr>
          <w:rFonts w:ascii="Arial" w:eastAsia="DIN Next LT Pro Condensed" w:hAnsi="Arial" w:cs="Arial"/>
          <w:spacing w:val="14"/>
        </w:rPr>
        <w:t xml:space="preserve"> </w:t>
      </w:r>
      <w:r w:rsidRPr="00CA34F5">
        <w:rPr>
          <w:rFonts w:ascii="Arial" w:eastAsia="DIN Next LT Pro Condensed" w:hAnsi="Arial" w:cs="Arial"/>
        </w:rPr>
        <w:t>uno</w:t>
      </w:r>
      <w:r w:rsidRPr="00CA34F5">
        <w:rPr>
          <w:rFonts w:ascii="Arial" w:eastAsia="DIN Next LT Pro Condensed" w:hAnsi="Arial" w:cs="Arial"/>
          <w:spacing w:val="13"/>
        </w:rPr>
        <w:t xml:space="preserve"> </w:t>
      </w:r>
      <w:r w:rsidRPr="00CA34F5">
        <w:rPr>
          <w:rFonts w:ascii="Arial" w:eastAsia="DIN Next LT Pro Condensed" w:hAnsi="Arial" w:cs="Arial"/>
        </w:rPr>
        <w:t>administra</w:t>
      </w:r>
      <w:r w:rsidRPr="00CA34F5">
        <w:rPr>
          <w:rFonts w:ascii="Arial" w:eastAsia="DIN Next LT Pro Condensed" w:hAnsi="Arial" w:cs="Arial"/>
          <w:spacing w:val="22"/>
        </w:rPr>
        <w:t xml:space="preserve"> </w:t>
      </w:r>
      <w:r w:rsidRPr="00CA34F5">
        <w:rPr>
          <w:rFonts w:ascii="Arial" w:eastAsia="DIN Next LT Pro Condensed" w:hAnsi="Arial" w:cs="Arial"/>
        </w:rPr>
        <w:t>en</w:t>
      </w:r>
      <w:r w:rsidRPr="00CA34F5">
        <w:rPr>
          <w:rFonts w:ascii="Arial" w:eastAsia="DIN Next LT Pro Condensed" w:hAnsi="Arial" w:cs="Arial"/>
          <w:spacing w:val="11"/>
        </w:rPr>
        <w:t xml:space="preserve"> </w:t>
      </w:r>
      <w:r w:rsidRPr="00CA34F5">
        <w:rPr>
          <w:rFonts w:ascii="Arial" w:eastAsia="DIN Next LT Pro Condensed" w:hAnsi="Arial" w:cs="Arial"/>
        </w:rPr>
        <w:t>su</w:t>
      </w:r>
      <w:r w:rsidRPr="00CA34F5">
        <w:rPr>
          <w:rFonts w:ascii="Arial" w:eastAsia="DIN Next LT Pro Condensed" w:hAnsi="Arial" w:cs="Arial"/>
          <w:spacing w:val="11"/>
        </w:rPr>
        <w:t xml:space="preserve"> </w:t>
      </w:r>
      <w:r w:rsidRPr="00CA34F5">
        <w:rPr>
          <w:rFonts w:ascii="Arial" w:eastAsia="DIN Next LT Pro Condensed" w:hAnsi="Arial" w:cs="Arial"/>
        </w:rPr>
        <w:t>gestión</w:t>
      </w:r>
      <w:r w:rsidRPr="00CA34F5">
        <w:rPr>
          <w:rFonts w:ascii="Arial" w:eastAsia="DIN Next LT Pro Condensed" w:hAnsi="Arial" w:cs="Arial"/>
          <w:spacing w:val="18"/>
        </w:rPr>
        <w:t xml:space="preserve"> </w:t>
      </w:r>
      <w:r w:rsidRPr="00CA34F5">
        <w:rPr>
          <w:rFonts w:ascii="Arial" w:eastAsia="DIN Next LT Pro Condensed" w:hAnsi="Arial" w:cs="Arial"/>
        </w:rPr>
        <w:t>diaria,</w:t>
      </w:r>
      <w:r w:rsidRPr="00CA34F5">
        <w:rPr>
          <w:rFonts w:ascii="Arial" w:eastAsia="DIN Next LT Pro Condensed" w:hAnsi="Arial" w:cs="Arial"/>
          <w:spacing w:val="16"/>
        </w:rPr>
        <w:t xml:space="preserve"> </w:t>
      </w:r>
      <w:r w:rsidRPr="00CA34F5">
        <w:rPr>
          <w:rFonts w:ascii="Arial" w:eastAsia="DIN Next LT Pro Condensed" w:hAnsi="Arial" w:cs="Arial"/>
        </w:rPr>
        <w:t>así</w:t>
      </w:r>
      <w:r w:rsidRPr="00CA34F5">
        <w:rPr>
          <w:rFonts w:ascii="Arial" w:eastAsia="DIN Next LT Pro Condensed" w:hAnsi="Arial" w:cs="Arial"/>
          <w:spacing w:val="12"/>
        </w:rPr>
        <w:t xml:space="preserve"> </w:t>
      </w:r>
      <w:r w:rsidRPr="00CA34F5">
        <w:rPr>
          <w:rFonts w:ascii="Arial" w:eastAsia="DIN Next LT Pro Condensed" w:hAnsi="Arial" w:cs="Arial"/>
        </w:rPr>
        <w:t>mismo,</w:t>
      </w:r>
      <w:r w:rsidRPr="00CA34F5">
        <w:rPr>
          <w:rFonts w:ascii="Arial" w:eastAsia="DIN Next LT Pro Condensed" w:hAnsi="Arial" w:cs="Arial"/>
          <w:spacing w:val="18"/>
        </w:rPr>
        <w:t xml:space="preserve"> </w:t>
      </w:r>
      <w:r w:rsidRPr="00CA34F5">
        <w:rPr>
          <w:rFonts w:ascii="Arial" w:eastAsia="DIN Next LT Pro Condensed" w:hAnsi="Arial" w:cs="Arial"/>
        </w:rPr>
        <w:t>a</w:t>
      </w:r>
      <w:r w:rsidRPr="00CA34F5">
        <w:rPr>
          <w:rFonts w:ascii="Arial" w:eastAsia="DIN Next LT Pro Condensed" w:hAnsi="Arial" w:cs="Arial"/>
          <w:spacing w:val="10"/>
        </w:rPr>
        <w:t xml:space="preserve"> </w:t>
      </w:r>
      <w:r w:rsidRPr="00CA34F5">
        <w:rPr>
          <w:rFonts w:ascii="Arial" w:eastAsia="DIN Next LT Pro Condensed" w:hAnsi="Arial" w:cs="Arial"/>
        </w:rPr>
        <w:t>través</w:t>
      </w:r>
      <w:r w:rsidRPr="00CA34F5">
        <w:rPr>
          <w:rFonts w:ascii="Arial" w:eastAsia="DIN Next LT Pro Condensed" w:hAnsi="Arial" w:cs="Arial"/>
          <w:spacing w:val="16"/>
        </w:rPr>
        <w:t xml:space="preserve"> </w:t>
      </w:r>
      <w:r w:rsidRPr="00CA34F5">
        <w:rPr>
          <w:rFonts w:ascii="Arial" w:eastAsia="DIN Next LT Pro Condensed" w:hAnsi="Arial" w:cs="Arial"/>
        </w:rPr>
        <w:t>de</w:t>
      </w:r>
      <w:r w:rsidRPr="00CA34F5">
        <w:rPr>
          <w:rFonts w:ascii="Arial" w:eastAsia="DIN Next LT Pro Condensed" w:hAnsi="Arial" w:cs="Arial"/>
          <w:spacing w:val="11"/>
        </w:rPr>
        <w:t xml:space="preserve"> </w:t>
      </w:r>
      <w:r w:rsidRPr="00CA34F5">
        <w:rPr>
          <w:rFonts w:ascii="Arial" w:eastAsia="DIN Next LT Pro Condensed" w:hAnsi="Arial" w:cs="Arial"/>
        </w:rPr>
        <w:t>la</w:t>
      </w:r>
      <w:r w:rsidRPr="00CA34F5">
        <w:rPr>
          <w:rFonts w:ascii="Arial" w:eastAsia="DIN Next LT Pro Condensed" w:hAnsi="Arial" w:cs="Arial"/>
          <w:spacing w:val="10"/>
        </w:rPr>
        <w:t xml:space="preserve"> </w:t>
      </w:r>
      <w:r w:rsidRPr="00CA34F5">
        <w:rPr>
          <w:rFonts w:ascii="Arial" w:eastAsia="DIN Next LT Pro Condensed" w:hAnsi="Arial" w:cs="Arial"/>
        </w:rPr>
        <w:t>efectividad</w:t>
      </w:r>
      <w:r w:rsidRPr="00CA34F5">
        <w:rPr>
          <w:rFonts w:ascii="Arial" w:eastAsia="DIN Next LT Pro Condensed" w:hAnsi="Arial" w:cs="Arial"/>
          <w:spacing w:val="22"/>
        </w:rPr>
        <w:t xml:space="preserve"> </w:t>
      </w:r>
      <w:r w:rsidRPr="00CA34F5">
        <w:rPr>
          <w:rFonts w:ascii="Arial" w:eastAsia="DIN Next LT Pro Condensed" w:hAnsi="Arial" w:cs="Arial"/>
        </w:rPr>
        <w:t>se</w:t>
      </w:r>
      <w:r w:rsidRPr="00CA34F5">
        <w:rPr>
          <w:rFonts w:ascii="Arial" w:eastAsia="DIN Next LT Pro Condensed" w:hAnsi="Arial" w:cs="Arial"/>
          <w:spacing w:val="11"/>
        </w:rPr>
        <w:t xml:space="preserve"> </w:t>
      </w:r>
      <w:r w:rsidRPr="00CA34F5">
        <w:rPr>
          <w:rFonts w:ascii="Arial" w:eastAsia="DIN Next LT Pro Condensed" w:hAnsi="Arial" w:cs="Arial"/>
        </w:rPr>
        <w:t>realizan</w:t>
      </w:r>
      <w:r w:rsidRPr="00CA34F5">
        <w:rPr>
          <w:rFonts w:ascii="Arial" w:eastAsia="DIN Next LT Pro Condensed" w:hAnsi="Arial" w:cs="Arial"/>
          <w:spacing w:val="19"/>
        </w:rPr>
        <w:t xml:space="preserve"> </w:t>
      </w:r>
      <w:r w:rsidRPr="00CA34F5">
        <w:rPr>
          <w:rFonts w:ascii="Arial" w:eastAsia="DIN Next LT Pro Condensed" w:hAnsi="Arial" w:cs="Arial"/>
        </w:rPr>
        <w:t>las</w:t>
      </w:r>
      <w:r w:rsidRPr="00CA34F5">
        <w:rPr>
          <w:rFonts w:ascii="Arial" w:eastAsia="DIN Next LT Pro Condensed" w:hAnsi="Arial" w:cs="Arial"/>
          <w:spacing w:val="12"/>
        </w:rPr>
        <w:t xml:space="preserve"> </w:t>
      </w:r>
      <w:r w:rsidRPr="00CA34F5">
        <w:rPr>
          <w:rFonts w:ascii="Arial" w:eastAsia="DIN Next LT Pro Condensed" w:hAnsi="Arial" w:cs="Arial"/>
        </w:rPr>
        <w:t>actividades</w:t>
      </w:r>
      <w:r w:rsidRPr="00CA34F5">
        <w:rPr>
          <w:rFonts w:ascii="Arial" w:eastAsia="DIN Next LT Pro Condensed" w:hAnsi="Arial" w:cs="Arial"/>
          <w:spacing w:val="23"/>
        </w:rPr>
        <w:t xml:space="preserve"> </w:t>
      </w:r>
      <w:r w:rsidRPr="00CA34F5">
        <w:rPr>
          <w:rFonts w:ascii="Arial" w:eastAsia="DIN Next LT Pro Condensed" w:hAnsi="Arial" w:cs="Arial"/>
          <w:w w:val="102"/>
        </w:rPr>
        <w:t xml:space="preserve">de </w:t>
      </w:r>
      <w:r w:rsidRPr="00CA34F5">
        <w:rPr>
          <w:rFonts w:ascii="Arial" w:eastAsia="DIN Next LT Pro Condensed" w:hAnsi="Arial" w:cs="Arial"/>
        </w:rPr>
        <w:t>manera</w:t>
      </w:r>
      <w:r w:rsidRPr="00CA34F5">
        <w:rPr>
          <w:rFonts w:ascii="Arial" w:eastAsia="DIN Next LT Pro Condensed" w:hAnsi="Arial" w:cs="Arial"/>
          <w:spacing w:val="11"/>
        </w:rPr>
        <w:t xml:space="preserve"> </w:t>
      </w:r>
      <w:r w:rsidRPr="00CA34F5">
        <w:rPr>
          <w:rFonts w:ascii="Arial" w:eastAsia="DIN Next LT Pro Condensed" w:hAnsi="Arial" w:cs="Arial"/>
        </w:rPr>
        <w:t>planificada</w:t>
      </w:r>
      <w:r w:rsidRPr="00CA34F5">
        <w:rPr>
          <w:rFonts w:ascii="Arial" w:eastAsia="DIN Next LT Pro Condensed" w:hAnsi="Arial" w:cs="Arial"/>
          <w:spacing w:val="16"/>
        </w:rPr>
        <w:t xml:space="preserve"> </w:t>
      </w:r>
      <w:r w:rsidRPr="00CA34F5">
        <w:rPr>
          <w:rFonts w:ascii="Arial" w:eastAsia="DIN Next LT Pro Condensed" w:hAnsi="Arial" w:cs="Arial"/>
        </w:rPr>
        <w:t>de</w:t>
      </w:r>
      <w:r w:rsidRPr="00CA34F5">
        <w:rPr>
          <w:rFonts w:ascii="Arial" w:eastAsia="DIN Next LT Pro Condensed" w:hAnsi="Arial" w:cs="Arial"/>
          <w:spacing w:val="4"/>
        </w:rPr>
        <w:t xml:space="preserve"> </w:t>
      </w:r>
      <w:r w:rsidRPr="00CA34F5">
        <w:rPr>
          <w:rFonts w:ascii="Arial" w:eastAsia="DIN Next LT Pro Condensed" w:hAnsi="Arial" w:cs="Arial"/>
        </w:rPr>
        <w:t>resultados,</w:t>
      </w:r>
      <w:r w:rsidRPr="00CA34F5">
        <w:rPr>
          <w:rFonts w:ascii="Arial" w:eastAsia="DIN Next LT Pro Condensed" w:hAnsi="Arial" w:cs="Arial"/>
          <w:spacing w:val="16"/>
        </w:rPr>
        <w:t xml:space="preserve"> </w:t>
      </w:r>
      <w:r w:rsidRPr="00CA34F5">
        <w:rPr>
          <w:rFonts w:ascii="Arial" w:eastAsia="DIN Next LT Pro Condensed" w:hAnsi="Arial" w:cs="Arial"/>
        </w:rPr>
        <w:t>haciendo</w:t>
      </w:r>
      <w:r w:rsidRPr="00CA34F5">
        <w:rPr>
          <w:rFonts w:ascii="Arial" w:eastAsia="DIN Next LT Pro Condensed" w:hAnsi="Arial" w:cs="Arial"/>
          <w:spacing w:val="13"/>
        </w:rPr>
        <w:t xml:space="preserve"> </w:t>
      </w:r>
      <w:r w:rsidRPr="00CA34F5">
        <w:rPr>
          <w:rFonts w:ascii="Arial" w:eastAsia="DIN Next LT Pro Condensed" w:hAnsi="Arial" w:cs="Arial"/>
        </w:rPr>
        <w:t>un</w:t>
      </w:r>
      <w:r w:rsidRPr="00CA34F5">
        <w:rPr>
          <w:rFonts w:ascii="Arial" w:eastAsia="DIN Next LT Pro Condensed" w:hAnsi="Arial" w:cs="Arial"/>
          <w:spacing w:val="4"/>
        </w:rPr>
        <w:t xml:space="preserve"> </w:t>
      </w:r>
      <w:r w:rsidRPr="00CA34F5">
        <w:rPr>
          <w:rFonts w:ascii="Arial" w:eastAsia="DIN Next LT Pro Condensed" w:hAnsi="Arial" w:cs="Arial"/>
        </w:rPr>
        <w:t>uso</w:t>
      </w:r>
      <w:r w:rsidRPr="00CA34F5">
        <w:rPr>
          <w:rFonts w:ascii="Arial" w:eastAsia="DIN Next LT Pro Condensed" w:hAnsi="Arial" w:cs="Arial"/>
          <w:spacing w:val="6"/>
        </w:rPr>
        <w:t xml:space="preserve"> </w:t>
      </w:r>
      <w:r w:rsidRPr="00CA34F5">
        <w:rPr>
          <w:rFonts w:ascii="Arial" w:eastAsia="DIN Next LT Pro Condensed" w:hAnsi="Arial" w:cs="Arial"/>
        </w:rPr>
        <w:t>racional</w:t>
      </w:r>
      <w:r w:rsidRPr="00CA34F5">
        <w:rPr>
          <w:rFonts w:ascii="Arial" w:eastAsia="DIN Next LT Pro Condensed" w:hAnsi="Arial" w:cs="Arial"/>
          <w:spacing w:val="12"/>
        </w:rPr>
        <w:t xml:space="preserve"> </w:t>
      </w:r>
      <w:r w:rsidRPr="00CA34F5">
        <w:rPr>
          <w:rFonts w:ascii="Arial" w:eastAsia="DIN Next LT Pro Condensed" w:hAnsi="Arial" w:cs="Arial"/>
        </w:rPr>
        <w:t>y</w:t>
      </w:r>
      <w:r w:rsidRPr="00CA34F5">
        <w:rPr>
          <w:rFonts w:ascii="Arial" w:eastAsia="DIN Next LT Pro Condensed" w:hAnsi="Arial" w:cs="Arial"/>
          <w:spacing w:val="2"/>
        </w:rPr>
        <w:t xml:space="preserve"> </w:t>
      </w:r>
      <w:r w:rsidRPr="00CA34F5">
        <w:rPr>
          <w:rFonts w:ascii="Arial" w:eastAsia="DIN Next LT Pro Condensed" w:hAnsi="Arial" w:cs="Arial"/>
        </w:rPr>
        <w:t>óptimo</w:t>
      </w:r>
      <w:r w:rsidRPr="00CA34F5">
        <w:rPr>
          <w:rFonts w:ascii="Arial" w:eastAsia="DIN Next LT Pro Condensed" w:hAnsi="Arial" w:cs="Arial"/>
          <w:spacing w:val="10"/>
        </w:rPr>
        <w:t xml:space="preserve"> </w:t>
      </w:r>
      <w:r w:rsidRPr="00CA34F5">
        <w:rPr>
          <w:rFonts w:ascii="Arial" w:eastAsia="DIN Next LT Pro Condensed" w:hAnsi="Arial" w:cs="Arial"/>
        </w:rPr>
        <w:t>de</w:t>
      </w:r>
      <w:r w:rsidRPr="00CA34F5">
        <w:rPr>
          <w:rFonts w:ascii="Arial" w:eastAsia="DIN Next LT Pro Condensed" w:hAnsi="Arial" w:cs="Arial"/>
          <w:spacing w:val="4"/>
        </w:rPr>
        <w:t xml:space="preserve"> </w:t>
      </w:r>
      <w:r w:rsidRPr="00CA34F5">
        <w:rPr>
          <w:rFonts w:ascii="Arial" w:eastAsia="DIN Next LT Pro Condensed" w:hAnsi="Arial" w:cs="Arial"/>
        </w:rPr>
        <w:t>los</w:t>
      </w:r>
      <w:r w:rsidRPr="00CA34F5">
        <w:rPr>
          <w:rFonts w:ascii="Arial" w:eastAsia="DIN Next LT Pro Condensed" w:hAnsi="Arial" w:cs="Arial"/>
          <w:spacing w:val="5"/>
        </w:rPr>
        <w:t xml:space="preserve"> </w:t>
      </w:r>
      <w:r w:rsidRPr="00CA34F5">
        <w:rPr>
          <w:rFonts w:ascii="Arial" w:eastAsia="DIN Next LT Pro Condensed" w:hAnsi="Arial" w:cs="Arial"/>
          <w:w w:val="102"/>
        </w:rPr>
        <w:t>recursos.</w:t>
      </w:r>
    </w:p>
    <w:p w14:paraId="2E8C6E66" w14:textId="77777777" w:rsidR="000273CE" w:rsidRPr="00CA34F5" w:rsidRDefault="000273CE" w:rsidP="000A4C31">
      <w:pPr>
        <w:spacing w:after="0" w:line="240" w:lineRule="auto"/>
        <w:ind w:left="833" w:right="81"/>
        <w:contextualSpacing/>
        <w:jc w:val="both"/>
        <w:rPr>
          <w:rFonts w:ascii="Arial" w:hAnsi="Arial" w:cs="Arial"/>
        </w:rPr>
      </w:pPr>
    </w:p>
    <w:p w14:paraId="0355B62E" w14:textId="77777777" w:rsidR="005A7A13" w:rsidRPr="00CA34F5" w:rsidRDefault="005A7A13" w:rsidP="000A4C31">
      <w:pPr>
        <w:autoSpaceDE w:val="0"/>
        <w:autoSpaceDN w:val="0"/>
        <w:adjustRightInd w:val="0"/>
        <w:spacing w:after="0" w:line="240" w:lineRule="auto"/>
        <w:ind w:right="340"/>
        <w:jc w:val="both"/>
        <w:rPr>
          <w:rFonts w:ascii="Arial" w:hAnsi="Arial" w:cs="Arial"/>
          <w:b/>
        </w:rPr>
      </w:pPr>
      <w:r w:rsidRPr="00CA34F5">
        <w:rPr>
          <w:rFonts w:ascii="Arial" w:hAnsi="Arial" w:cs="Arial"/>
          <w:b/>
        </w:rPr>
        <w:t>14. Información por Segmentos</w:t>
      </w:r>
    </w:p>
    <w:p w14:paraId="0A3AA6FB" w14:textId="77777777" w:rsidR="005A7A13" w:rsidRPr="00CA34F5" w:rsidRDefault="005A7A13" w:rsidP="000A4C31">
      <w:pPr>
        <w:spacing w:after="0" w:line="240" w:lineRule="auto"/>
        <w:ind w:left="113"/>
        <w:jc w:val="both"/>
        <w:rPr>
          <w:rFonts w:ascii="Arial" w:eastAsia="DIN Next LT Pro" w:hAnsi="Arial" w:cs="Arial"/>
        </w:rPr>
      </w:pPr>
    </w:p>
    <w:p w14:paraId="226910C2" w14:textId="299BED9B" w:rsidR="005A7A13" w:rsidRPr="00CA34F5" w:rsidRDefault="00F155F8" w:rsidP="000A4C31">
      <w:pPr>
        <w:spacing w:after="0" w:line="240" w:lineRule="auto"/>
        <w:ind w:left="113" w:right="75"/>
        <w:jc w:val="both"/>
        <w:rPr>
          <w:rFonts w:ascii="Arial" w:eastAsia="DIN Next LT Pro Condensed" w:hAnsi="Arial" w:cs="Arial"/>
          <w:w w:val="102"/>
        </w:rPr>
      </w:pPr>
      <w:r w:rsidRPr="00CA34F5">
        <w:rPr>
          <w:rFonts w:ascii="Arial" w:eastAsia="DIN Next LT Pro Condensed" w:hAnsi="Arial" w:cs="Arial"/>
          <w:w w:val="102"/>
        </w:rPr>
        <w:t>No se tiene información segmentada.</w:t>
      </w:r>
    </w:p>
    <w:p w14:paraId="285A2854" w14:textId="77777777" w:rsidR="004713D7" w:rsidRPr="00CA34F5" w:rsidRDefault="004713D7" w:rsidP="000A4C31">
      <w:pPr>
        <w:spacing w:after="0" w:line="240" w:lineRule="auto"/>
        <w:ind w:left="113" w:right="75"/>
        <w:jc w:val="both"/>
        <w:rPr>
          <w:rFonts w:ascii="Arial" w:eastAsia="DIN Next LT Pro Condensed" w:hAnsi="Arial" w:cs="Arial"/>
          <w:w w:val="102"/>
        </w:rPr>
      </w:pPr>
    </w:p>
    <w:p w14:paraId="360593FB" w14:textId="25C9EF71" w:rsidR="005A7A13" w:rsidRPr="00CA34F5" w:rsidRDefault="005A7A13" w:rsidP="000A4C31">
      <w:pPr>
        <w:autoSpaceDE w:val="0"/>
        <w:autoSpaceDN w:val="0"/>
        <w:adjustRightInd w:val="0"/>
        <w:spacing w:after="0" w:line="240" w:lineRule="auto"/>
        <w:ind w:right="340"/>
        <w:jc w:val="both"/>
        <w:rPr>
          <w:rFonts w:ascii="Arial" w:hAnsi="Arial" w:cs="Arial"/>
          <w:b/>
        </w:rPr>
      </w:pPr>
      <w:r w:rsidRPr="00CA34F5">
        <w:rPr>
          <w:rFonts w:ascii="Arial" w:hAnsi="Arial" w:cs="Arial"/>
          <w:b/>
        </w:rPr>
        <w:t>15. Eventos Posteriores al Cierre</w:t>
      </w:r>
    </w:p>
    <w:p w14:paraId="4EF37C1F" w14:textId="77777777" w:rsidR="004713D7" w:rsidRPr="00CA34F5" w:rsidRDefault="004713D7" w:rsidP="000A4C31">
      <w:pPr>
        <w:autoSpaceDE w:val="0"/>
        <w:autoSpaceDN w:val="0"/>
        <w:adjustRightInd w:val="0"/>
        <w:spacing w:after="0" w:line="240" w:lineRule="auto"/>
        <w:ind w:right="340"/>
        <w:jc w:val="both"/>
        <w:rPr>
          <w:rFonts w:ascii="Arial" w:eastAsia="DIN Next LT Pro" w:hAnsi="Arial" w:cs="Arial"/>
        </w:rPr>
      </w:pPr>
    </w:p>
    <w:p w14:paraId="2D117394" w14:textId="41E03B20" w:rsidR="005A7A13" w:rsidRPr="00CA34F5" w:rsidRDefault="005A7A13" w:rsidP="000A4C31">
      <w:pPr>
        <w:spacing w:after="0" w:line="240" w:lineRule="auto"/>
        <w:ind w:left="113"/>
        <w:jc w:val="both"/>
        <w:rPr>
          <w:rFonts w:ascii="Arial" w:eastAsia="DIN Next LT Pro Condensed" w:hAnsi="Arial" w:cs="Arial"/>
          <w:w w:val="102"/>
        </w:rPr>
      </w:pPr>
      <w:r w:rsidRPr="00CA34F5">
        <w:rPr>
          <w:rFonts w:ascii="Arial" w:eastAsia="DIN Next LT Pro Condensed" w:hAnsi="Arial" w:cs="Arial"/>
        </w:rPr>
        <w:t>Se</w:t>
      </w:r>
      <w:r w:rsidRPr="00CA34F5">
        <w:rPr>
          <w:rFonts w:ascii="Arial" w:eastAsia="DIN Next LT Pro Condensed" w:hAnsi="Arial" w:cs="Arial"/>
          <w:spacing w:val="4"/>
        </w:rPr>
        <w:t xml:space="preserve"> </w:t>
      </w:r>
      <w:r w:rsidRPr="00CA34F5">
        <w:rPr>
          <w:rFonts w:ascii="Arial" w:eastAsia="DIN Next LT Pro Condensed" w:hAnsi="Arial" w:cs="Arial"/>
        </w:rPr>
        <w:t>declara</w:t>
      </w:r>
      <w:r w:rsidRPr="00CA34F5">
        <w:rPr>
          <w:rFonts w:ascii="Arial" w:eastAsia="DIN Next LT Pro Condensed" w:hAnsi="Arial" w:cs="Arial"/>
          <w:spacing w:val="11"/>
        </w:rPr>
        <w:t xml:space="preserve"> </w:t>
      </w:r>
      <w:r w:rsidRPr="00CA34F5">
        <w:rPr>
          <w:rFonts w:ascii="Arial" w:eastAsia="DIN Next LT Pro Condensed" w:hAnsi="Arial" w:cs="Arial"/>
        </w:rPr>
        <w:t>que</w:t>
      </w:r>
      <w:r w:rsidRPr="00CA34F5">
        <w:rPr>
          <w:rFonts w:ascii="Arial" w:eastAsia="DIN Next LT Pro Condensed" w:hAnsi="Arial" w:cs="Arial"/>
          <w:spacing w:val="6"/>
        </w:rPr>
        <w:t xml:space="preserve"> </w:t>
      </w:r>
      <w:r w:rsidRPr="00CA34F5">
        <w:rPr>
          <w:rFonts w:ascii="Arial" w:eastAsia="DIN Next LT Pro Condensed" w:hAnsi="Arial" w:cs="Arial"/>
        </w:rPr>
        <w:t>no</w:t>
      </w:r>
      <w:r w:rsidRPr="00CA34F5">
        <w:rPr>
          <w:rFonts w:ascii="Arial" w:eastAsia="DIN Next LT Pro Condensed" w:hAnsi="Arial" w:cs="Arial"/>
          <w:spacing w:val="4"/>
        </w:rPr>
        <w:t xml:space="preserve"> </w:t>
      </w:r>
      <w:r w:rsidRPr="00CA34F5">
        <w:rPr>
          <w:rFonts w:ascii="Arial" w:eastAsia="DIN Next LT Pro Condensed" w:hAnsi="Arial" w:cs="Arial"/>
        </w:rPr>
        <w:t>existen</w:t>
      </w:r>
      <w:r w:rsidRPr="00CA34F5">
        <w:rPr>
          <w:rFonts w:ascii="Arial" w:eastAsia="DIN Next LT Pro Condensed" w:hAnsi="Arial" w:cs="Arial"/>
          <w:spacing w:val="10"/>
        </w:rPr>
        <w:t xml:space="preserve"> </w:t>
      </w:r>
      <w:r w:rsidRPr="00CA34F5">
        <w:rPr>
          <w:rFonts w:ascii="Arial" w:eastAsia="DIN Next LT Pro Condensed" w:hAnsi="Arial" w:cs="Arial"/>
        </w:rPr>
        <w:t>hechos</w:t>
      </w:r>
      <w:r w:rsidRPr="00CA34F5">
        <w:rPr>
          <w:rFonts w:ascii="Arial" w:eastAsia="DIN Next LT Pro Condensed" w:hAnsi="Arial" w:cs="Arial"/>
          <w:spacing w:val="10"/>
        </w:rPr>
        <w:t xml:space="preserve"> </w:t>
      </w:r>
      <w:r w:rsidRPr="00CA34F5">
        <w:rPr>
          <w:rFonts w:ascii="Arial" w:eastAsia="DIN Next LT Pro Condensed" w:hAnsi="Arial" w:cs="Arial"/>
        </w:rPr>
        <w:t>posteriores</w:t>
      </w:r>
      <w:r w:rsidRPr="00CA34F5">
        <w:rPr>
          <w:rFonts w:ascii="Arial" w:eastAsia="DIN Next LT Pro Condensed" w:hAnsi="Arial" w:cs="Arial"/>
          <w:spacing w:val="16"/>
        </w:rPr>
        <w:t xml:space="preserve"> </w:t>
      </w:r>
      <w:r w:rsidRPr="00CA34F5">
        <w:rPr>
          <w:rFonts w:ascii="Arial" w:eastAsia="DIN Next LT Pro Condensed" w:hAnsi="Arial" w:cs="Arial"/>
        </w:rPr>
        <w:t>a</w:t>
      </w:r>
      <w:r w:rsidRPr="00CA34F5">
        <w:rPr>
          <w:rFonts w:ascii="Arial" w:eastAsia="DIN Next LT Pro Condensed" w:hAnsi="Arial" w:cs="Arial"/>
          <w:spacing w:val="3"/>
        </w:rPr>
        <w:t xml:space="preserve"> </w:t>
      </w:r>
      <w:r w:rsidRPr="00CA34F5">
        <w:rPr>
          <w:rFonts w:ascii="Arial" w:eastAsia="DIN Next LT Pro Condensed" w:hAnsi="Arial" w:cs="Arial"/>
        </w:rPr>
        <w:t>la</w:t>
      </w:r>
      <w:r w:rsidRPr="00CA34F5">
        <w:rPr>
          <w:rFonts w:ascii="Arial" w:eastAsia="DIN Next LT Pro Condensed" w:hAnsi="Arial" w:cs="Arial"/>
          <w:spacing w:val="3"/>
        </w:rPr>
        <w:t xml:space="preserve"> </w:t>
      </w:r>
      <w:r w:rsidRPr="00CA34F5">
        <w:rPr>
          <w:rFonts w:ascii="Arial" w:eastAsia="DIN Next LT Pro Condensed" w:hAnsi="Arial" w:cs="Arial"/>
        </w:rPr>
        <w:t>fecha</w:t>
      </w:r>
      <w:r w:rsidRPr="00CA34F5">
        <w:rPr>
          <w:rFonts w:ascii="Arial" w:eastAsia="DIN Next LT Pro Condensed" w:hAnsi="Arial" w:cs="Arial"/>
          <w:spacing w:val="8"/>
        </w:rPr>
        <w:t xml:space="preserve"> </w:t>
      </w:r>
      <w:r w:rsidRPr="00CA34F5">
        <w:rPr>
          <w:rFonts w:ascii="Arial" w:eastAsia="DIN Next LT Pro Condensed" w:hAnsi="Arial" w:cs="Arial"/>
        </w:rPr>
        <w:t>de</w:t>
      </w:r>
      <w:r w:rsidRPr="00CA34F5">
        <w:rPr>
          <w:rFonts w:ascii="Arial" w:eastAsia="DIN Next LT Pro Condensed" w:hAnsi="Arial" w:cs="Arial"/>
          <w:spacing w:val="4"/>
        </w:rPr>
        <w:t xml:space="preserve"> </w:t>
      </w:r>
      <w:r w:rsidRPr="00CA34F5">
        <w:rPr>
          <w:rFonts w:ascii="Arial" w:eastAsia="DIN Next LT Pro Condensed" w:hAnsi="Arial" w:cs="Arial"/>
        </w:rPr>
        <w:t>corte</w:t>
      </w:r>
      <w:r w:rsidRPr="00CA34F5">
        <w:rPr>
          <w:rFonts w:ascii="Arial" w:eastAsia="DIN Next LT Pro Condensed" w:hAnsi="Arial" w:cs="Arial"/>
          <w:spacing w:val="8"/>
        </w:rPr>
        <w:t xml:space="preserve"> </w:t>
      </w:r>
      <w:r w:rsidRPr="00CA34F5">
        <w:rPr>
          <w:rFonts w:ascii="Arial" w:eastAsia="DIN Next LT Pro Condensed" w:hAnsi="Arial" w:cs="Arial"/>
        </w:rPr>
        <w:t>de</w:t>
      </w:r>
      <w:r w:rsidRPr="00CA34F5">
        <w:rPr>
          <w:rFonts w:ascii="Arial" w:eastAsia="DIN Next LT Pro Condensed" w:hAnsi="Arial" w:cs="Arial"/>
          <w:spacing w:val="4"/>
        </w:rPr>
        <w:t xml:space="preserve"> </w:t>
      </w:r>
      <w:r w:rsidRPr="00CA34F5">
        <w:rPr>
          <w:rFonts w:ascii="Arial" w:eastAsia="DIN Next LT Pro Condensed" w:hAnsi="Arial" w:cs="Arial"/>
        </w:rPr>
        <w:t>los</w:t>
      </w:r>
      <w:r w:rsidRPr="00CA34F5">
        <w:rPr>
          <w:rFonts w:ascii="Arial" w:eastAsia="DIN Next LT Pro Condensed" w:hAnsi="Arial" w:cs="Arial"/>
          <w:spacing w:val="5"/>
        </w:rPr>
        <w:t xml:space="preserve"> </w:t>
      </w:r>
      <w:r w:rsidRPr="00CA34F5">
        <w:rPr>
          <w:rFonts w:ascii="Arial" w:eastAsia="DIN Next LT Pro Condensed" w:hAnsi="Arial" w:cs="Arial"/>
        </w:rPr>
        <w:t>estados</w:t>
      </w:r>
      <w:r w:rsidRPr="00CA34F5">
        <w:rPr>
          <w:rFonts w:ascii="Arial" w:eastAsia="DIN Next LT Pro Condensed" w:hAnsi="Arial" w:cs="Arial"/>
          <w:spacing w:val="11"/>
        </w:rPr>
        <w:t xml:space="preserve"> </w:t>
      </w:r>
      <w:r w:rsidRPr="00CA34F5">
        <w:rPr>
          <w:rFonts w:ascii="Arial" w:eastAsia="DIN Next LT Pro Condensed" w:hAnsi="Arial" w:cs="Arial"/>
        </w:rPr>
        <w:t>financieros</w:t>
      </w:r>
      <w:r w:rsidRPr="00CA34F5">
        <w:rPr>
          <w:rFonts w:ascii="Arial" w:eastAsia="DIN Next LT Pro Condensed" w:hAnsi="Arial" w:cs="Arial"/>
          <w:spacing w:val="16"/>
        </w:rPr>
        <w:t xml:space="preserve"> </w:t>
      </w:r>
      <w:r w:rsidRPr="00CA34F5">
        <w:rPr>
          <w:rFonts w:ascii="Arial" w:eastAsia="DIN Next LT Pro Condensed" w:hAnsi="Arial" w:cs="Arial"/>
        </w:rPr>
        <w:t>a</w:t>
      </w:r>
      <w:r w:rsidRPr="00CA34F5">
        <w:rPr>
          <w:rFonts w:ascii="Arial" w:eastAsia="DIN Next LT Pro Condensed" w:hAnsi="Arial" w:cs="Arial"/>
          <w:spacing w:val="3"/>
        </w:rPr>
        <w:t xml:space="preserve"> </w:t>
      </w:r>
      <w:r w:rsidRPr="00CA34F5">
        <w:rPr>
          <w:rFonts w:ascii="Arial" w:eastAsia="DIN Next LT Pro Condensed" w:hAnsi="Arial" w:cs="Arial"/>
        </w:rPr>
        <w:t>los</w:t>
      </w:r>
      <w:r w:rsidRPr="00CA34F5">
        <w:rPr>
          <w:rFonts w:ascii="Arial" w:eastAsia="DIN Next LT Pro Condensed" w:hAnsi="Arial" w:cs="Arial"/>
          <w:spacing w:val="5"/>
        </w:rPr>
        <w:t xml:space="preserve"> </w:t>
      </w:r>
      <w:r w:rsidRPr="00CA34F5">
        <w:rPr>
          <w:rFonts w:ascii="Arial" w:eastAsia="DIN Next LT Pro Condensed" w:hAnsi="Arial" w:cs="Arial"/>
        </w:rPr>
        <w:t>que</w:t>
      </w:r>
      <w:r w:rsidRPr="00CA34F5">
        <w:rPr>
          <w:rFonts w:ascii="Arial" w:eastAsia="DIN Next LT Pro Condensed" w:hAnsi="Arial" w:cs="Arial"/>
          <w:spacing w:val="6"/>
        </w:rPr>
        <w:t xml:space="preserve"> </w:t>
      </w:r>
      <w:r w:rsidRPr="00CA34F5">
        <w:rPr>
          <w:rFonts w:ascii="Arial" w:eastAsia="DIN Next LT Pro Condensed" w:hAnsi="Arial" w:cs="Arial"/>
        </w:rPr>
        <w:t>se</w:t>
      </w:r>
      <w:r w:rsidRPr="00CA34F5">
        <w:rPr>
          <w:rFonts w:ascii="Arial" w:eastAsia="DIN Next LT Pro Condensed" w:hAnsi="Arial" w:cs="Arial"/>
          <w:spacing w:val="4"/>
        </w:rPr>
        <w:t xml:space="preserve"> </w:t>
      </w:r>
      <w:r w:rsidRPr="00CA34F5">
        <w:rPr>
          <w:rFonts w:ascii="Arial" w:eastAsia="DIN Next LT Pro Condensed" w:hAnsi="Arial" w:cs="Arial"/>
        </w:rPr>
        <w:t>refieren</w:t>
      </w:r>
      <w:r w:rsidRPr="00CA34F5">
        <w:rPr>
          <w:rFonts w:ascii="Arial" w:eastAsia="DIN Next LT Pro Condensed" w:hAnsi="Arial" w:cs="Arial"/>
          <w:spacing w:val="11"/>
        </w:rPr>
        <w:t xml:space="preserve"> </w:t>
      </w:r>
      <w:r w:rsidRPr="00CA34F5">
        <w:rPr>
          <w:rFonts w:ascii="Arial" w:eastAsia="DIN Next LT Pro Condensed" w:hAnsi="Arial" w:cs="Arial"/>
        </w:rPr>
        <w:t>estas</w:t>
      </w:r>
      <w:r w:rsidRPr="00CA34F5">
        <w:rPr>
          <w:rFonts w:ascii="Arial" w:eastAsia="DIN Next LT Pro Condensed" w:hAnsi="Arial" w:cs="Arial"/>
          <w:spacing w:val="8"/>
        </w:rPr>
        <w:t xml:space="preserve"> </w:t>
      </w:r>
      <w:r w:rsidR="00B402E2" w:rsidRPr="00CA34F5">
        <w:rPr>
          <w:rFonts w:ascii="Arial" w:eastAsia="DIN Next LT Pro Condensed" w:hAnsi="Arial" w:cs="Arial"/>
        </w:rPr>
        <w:t>Notas</w:t>
      </w:r>
      <w:r w:rsidRPr="00CA34F5">
        <w:rPr>
          <w:rFonts w:ascii="Arial" w:eastAsia="DIN Next LT Pro Condensed" w:hAnsi="Arial" w:cs="Arial"/>
          <w:spacing w:val="10"/>
        </w:rPr>
        <w:t xml:space="preserve"> </w:t>
      </w:r>
      <w:r w:rsidRPr="00CA34F5">
        <w:rPr>
          <w:rFonts w:ascii="Arial" w:eastAsia="DIN Next LT Pro Condensed" w:hAnsi="Arial" w:cs="Arial"/>
        </w:rPr>
        <w:t>que</w:t>
      </w:r>
      <w:r w:rsidRPr="00CA34F5">
        <w:rPr>
          <w:rFonts w:ascii="Arial" w:eastAsia="DIN Next LT Pro Condensed" w:hAnsi="Arial" w:cs="Arial"/>
          <w:spacing w:val="6"/>
        </w:rPr>
        <w:t xml:space="preserve"> </w:t>
      </w:r>
      <w:r w:rsidRPr="00CA34F5">
        <w:rPr>
          <w:rFonts w:ascii="Arial" w:eastAsia="DIN Next LT Pro Condensed" w:hAnsi="Arial" w:cs="Arial"/>
        </w:rPr>
        <w:t>los</w:t>
      </w:r>
      <w:r w:rsidRPr="00CA34F5">
        <w:rPr>
          <w:rFonts w:ascii="Arial" w:eastAsia="DIN Next LT Pro Condensed" w:hAnsi="Arial" w:cs="Arial"/>
          <w:spacing w:val="5"/>
        </w:rPr>
        <w:t xml:space="preserve"> </w:t>
      </w:r>
      <w:r w:rsidRPr="00CA34F5">
        <w:rPr>
          <w:rFonts w:ascii="Arial" w:eastAsia="DIN Next LT Pro Condensed" w:hAnsi="Arial" w:cs="Arial"/>
        </w:rPr>
        <w:t>afecten</w:t>
      </w:r>
      <w:r w:rsidRPr="00CA34F5">
        <w:rPr>
          <w:rFonts w:ascii="Arial" w:eastAsia="DIN Next LT Pro Condensed" w:hAnsi="Arial" w:cs="Arial"/>
          <w:spacing w:val="11"/>
        </w:rPr>
        <w:t xml:space="preserve"> </w:t>
      </w:r>
      <w:r w:rsidRPr="00CA34F5">
        <w:rPr>
          <w:rFonts w:ascii="Arial" w:eastAsia="DIN Next LT Pro Condensed" w:hAnsi="Arial" w:cs="Arial"/>
          <w:w w:val="102"/>
        </w:rPr>
        <w:t>económicamente.</w:t>
      </w:r>
    </w:p>
    <w:p w14:paraId="118BCFF5" w14:textId="77777777" w:rsidR="005A7A13" w:rsidRPr="00CA34F5" w:rsidRDefault="005A7A13" w:rsidP="000A4C31">
      <w:pPr>
        <w:autoSpaceDE w:val="0"/>
        <w:autoSpaceDN w:val="0"/>
        <w:adjustRightInd w:val="0"/>
        <w:spacing w:after="0" w:line="240" w:lineRule="auto"/>
        <w:ind w:right="340"/>
        <w:jc w:val="both"/>
        <w:rPr>
          <w:rFonts w:ascii="Arial" w:hAnsi="Arial" w:cs="Arial"/>
          <w:b/>
        </w:rPr>
      </w:pPr>
      <w:r w:rsidRPr="00CA34F5">
        <w:rPr>
          <w:rFonts w:ascii="Arial" w:hAnsi="Arial" w:cs="Arial"/>
          <w:b/>
        </w:rPr>
        <w:lastRenderedPageBreak/>
        <w:t>16. Partes Relacionadas</w:t>
      </w:r>
    </w:p>
    <w:p w14:paraId="3BB59FA7" w14:textId="77777777" w:rsidR="005A7A13" w:rsidRPr="00CA34F5" w:rsidRDefault="005A7A13" w:rsidP="000A4C31">
      <w:pPr>
        <w:spacing w:after="0" w:line="240" w:lineRule="auto"/>
        <w:ind w:left="113"/>
        <w:jc w:val="both"/>
        <w:rPr>
          <w:rFonts w:ascii="Arial" w:eastAsia="DIN Next LT Pro" w:hAnsi="Arial" w:cs="Arial"/>
        </w:rPr>
      </w:pPr>
    </w:p>
    <w:p w14:paraId="30700047" w14:textId="69409127" w:rsidR="005A7A13" w:rsidRPr="00CA34F5" w:rsidRDefault="005A7A13" w:rsidP="000A4C31">
      <w:pPr>
        <w:spacing w:after="0" w:line="240" w:lineRule="auto"/>
        <w:ind w:left="113"/>
        <w:jc w:val="both"/>
        <w:rPr>
          <w:rFonts w:ascii="Arial" w:eastAsia="DIN Next LT Pro Condensed" w:hAnsi="Arial" w:cs="Arial"/>
          <w:w w:val="102"/>
        </w:rPr>
      </w:pPr>
      <w:r w:rsidRPr="00CA34F5">
        <w:rPr>
          <w:rFonts w:ascii="Arial" w:eastAsia="DIN Next LT Pro Condensed" w:hAnsi="Arial" w:cs="Arial"/>
        </w:rPr>
        <w:t>Se</w:t>
      </w:r>
      <w:r w:rsidRPr="00CA34F5">
        <w:rPr>
          <w:rFonts w:ascii="Arial" w:eastAsia="DIN Next LT Pro Condensed" w:hAnsi="Arial" w:cs="Arial"/>
          <w:spacing w:val="4"/>
        </w:rPr>
        <w:t xml:space="preserve"> </w:t>
      </w:r>
      <w:r w:rsidRPr="00CA34F5">
        <w:rPr>
          <w:rFonts w:ascii="Arial" w:eastAsia="DIN Next LT Pro Condensed" w:hAnsi="Arial" w:cs="Arial"/>
        </w:rPr>
        <w:t>declara</w:t>
      </w:r>
      <w:r w:rsidRPr="00CA34F5">
        <w:rPr>
          <w:rFonts w:ascii="Arial" w:eastAsia="DIN Next LT Pro Condensed" w:hAnsi="Arial" w:cs="Arial"/>
          <w:spacing w:val="11"/>
        </w:rPr>
        <w:t xml:space="preserve"> </w:t>
      </w:r>
      <w:r w:rsidRPr="00CA34F5">
        <w:rPr>
          <w:rFonts w:ascii="Arial" w:eastAsia="DIN Next LT Pro Condensed" w:hAnsi="Arial" w:cs="Arial"/>
        </w:rPr>
        <w:t>que</w:t>
      </w:r>
      <w:r w:rsidRPr="00CA34F5">
        <w:rPr>
          <w:rFonts w:ascii="Arial" w:eastAsia="DIN Next LT Pro Condensed" w:hAnsi="Arial" w:cs="Arial"/>
          <w:spacing w:val="6"/>
        </w:rPr>
        <w:t xml:space="preserve"> </w:t>
      </w:r>
      <w:r w:rsidRPr="00CA34F5">
        <w:rPr>
          <w:rFonts w:ascii="Arial" w:eastAsia="DIN Next LT Pro Condensed" w:hAnsi="Arial" w:cs="Arial"/>
        </w:rPr>
        <w:t>no</w:t>
      </w:r>
      <w:r w:rsidRPr="00CA34F5">
        <w:rPr>
          <w:rFonts w:ascii="Arial" w:eastAsia="DIN Next LT Pro Condensed" w:hAnsi="Arial" w:cs="Arial"/>
          <w:spacing w:val="4"/>
        </w:rPr>
        <w:t xml:space="preserve"> </w:t>
      </w:r>
      <w:r w:rsidRPr="00CA34F5">
        <w:rPr>
          <w:rFonts w:ascii="Arial" w:eastAsia="DIN Next LT Pro Condensed" w:hAnsi="Arial" w:cs="Arial"/>
        </w:rPr>
        <w:t>existen</w:t>
      </w:r>
      <w:r w:rsidRPr="00CA34F5">
        <w:rPr>
          <w:rFonts w:ascii="Arial" w:eastAsia="DIN Next LT Pro Condensed" w:hAnsi="Arial" w:cs="Arial"/>
          <w:spacing w:val="10"/>
        </w:rPr>
        <w:t xml:space="preserve"> </w:t>
      </w:r>
      <w:r w:rsidRPr="00CA34F5">
        <w:rPr>
          <w:rFonts w:ascii="Arial" w:eastAsia="DIN Next LT Pro Condensed" w:hAnsi="Arial" w:cs="Arial"/>
        </w:rPr>
        <w:t>partes</w:t>
      </w:r>
      <w:r w:rsidRPr="00CA34F5">
        <w:rPr>
          <w:rFonts w:ascii="Arial" w:eastAsia="DIN Next LT Pro Condensed" w:hAnsi="Arial" w:cs="Arial"/>
          <w:spacing w:val="9"/>
        </w:rPr>
        <w:t xml:space="preserve"> </w:t>
      </w:r>
      <w:r w:rsidRPr="00CA34F5">
        <w:rPr>
          <w:rFonts w:ascii="Arial" w:eastAsia="DIN Next LT Pro Condensed" w:hAnsi="Arial" w:cs="Arial"/>
        </w:rPr>
        <w:t>relacionadas</w:t>
      </w:r>
      <w:r w:rsidRPr="00CA34F5">
        <w:rPr>
          <w:rFonts w:ascii="Arial" w:eastAsia="DIN Next LT Pro Condensed" w:hAnsi="Arial" w:cs="Arial"/>
          <w:spacing w:val="18"/>
        </w:rPr>
        <w:t xml:space="preserve"> </w:t>
      </w:r>
      <w:r w:rsidRPr="00CA34F5">
        <w:rPr>
          <w:rFonts w:ascii="Arial" w:eastAsia="DIN Next LT Pro Condensed" w:hAnsi="Arial" w:cs="Arial"/>
        </w:rPr>
        <w:t>que</w:t>
      </w:r>
      <w:r w:rsidRPr="00CA34F5">
        <w:rPr>
          <w:rFonts w:ascii="Arial" w:eastAsia="DIN Next LT Pro Condensed" w:hAnsi="Arial" w:cs="Arial"/>
          <w:spacing w:val="6"/>
        </w:rPr>
        <w:t xml:space="preserve"> </w:t>
      </w:r>
      <w:r w:rsidRPr="00CA34F5">
        <w:rPr>
          <w:rFonts w:ascii="Arial" w:eastAsia="DIN Next LT Pro Condensed" w:hAnsi="Arial" w:cs="Arial"/>
        </w:rPr>
        <w:t>pudieran</w:t>
      </w:r>
      <w:r w:rsidRPr="00CA34F5">
        <w:rPr>
          <w:rFonts w:ascii="Arial" w:eastAsia="DIN Next LT Pro Condensed" w:hAnsi="Arial" w:cs="Arial"/>
          <w:spacing w:val="13"/>
        </w:rPr>
        <w:t xml:space="preserve"> </w:t>
      </w:r>
      <w:r w:rsidRPr="00CA34F5">
        <w:rPr>
          <w:rFonts w:ascii="Arial" w:eastAsia="DIN Next LT Pro Condensed" w:hAnsi="Arial" w:cs="Arial"/>
        </w:rPr>
        <w:t>ejercer</w:t>
      </w:r>
      <w:r w:rsidRPr="00CA34F5">
        <w:rPr>
          <w:rFonts w:ascii="Arial" w:eastAsia="DIN Next LT Pro Condensed" w:hAnsi="Arial" w:cs="Arial"/>
          <w:spacing w:val="10"/>
        </w:rPr>
        <w:t xml:space="preserve"> </w:t>
      </w:r>
      <w:r w:rsidRPr="00CA34F5">
        <w:rPr>
          <w:rFonts w:ascii="Arial" w:eastAsia="DIN Next LT Pro Condensed" w:hAnsi="Arial" w:cs="Arial"/>
        </w:rPr>
        <w:t>influencia</w:t>
      </w:r>
      <w:r w:rsidRPr="00CA34F5">
        <w:rPr>
          <w:rFonts w:ascii="Arial" w:eastAsia="DIN Next LT Pro Condensed" w:hAnsi="Arial" w:cs="Arial"/>
          <w:spacing w:val="14"/>
        </w:rPr>
        <w:t xml:space="preserve"> </w:t>
      </w:r>
      <w:r w:rsidRPr="00CA34F5">
        <w:rPr>
          <w:rFonts w:ascii="Arial" w:eastAsia="DIN Next LT Pro Condensed" w:hAnsi="Arial" w:cs="Arial"/>
        </w:rPr>
        <w:t>significativa</w:t>
      </w:r>
      <w:r w:rsidRPr="00CA34F5">
        <w:rPr>
          <w:rFonts w:ascii="Arial" w:eastAsia="DIN Next LT Pro Condensed" w:hAnsi="Arial" w:cs="Arial"/>
          <w:spacing w:val="17"/>
        </w:rPr>
        <w:t xml:space="preserve"> </w:t>
      </w:r>
      <w:r w:rsidRPr="00CA34F5">
        <w:rPr>
          <w:rFonts w:ascii="Arial" w:eastAsia="DIN Next LT Pro Condensed" w:hAnsi="Arial" w:cs="Arial"/>
        </w:rPr>
        <w:t>sobre</w:t>
      </w:r>
      <w:r w:rsidRPr="00CA34F5">
        <w:rPr>
          <w:rFonts w:ascii="Arial" w:eastAsia="DIN Next LT Pro Condensed" w:hAnsi="Arial" w:cs="Arial"/>
          <w:spacing w:val="8"/>
        </w:rPr>
        <w:t xml:space="preserve"> </w:t>
      </w:r>
      <w:r w:rsidRPr="00CA34F5">
        <w:rPr>
          <w:rFonts w:ascii="Arial" w:eastAsia="DIN Next LT Pro Condensed" w:hAnsi="Arial" w:cs="Arial"/>
        </w:rPr>
        <w:t>la</w:t>
      </w:r>
      <w:r w:rsidRPr="00CA34F5">
        <w:rPr>
          <w:rFonts w:ascii="Arial" w:eastAsia="DIN Next LT Pro Condensed" w:hAnsi="Arial" w:cs="Arial"/>
          <w:spacing w:val="3"/>
        </w:rPr>
        <w:t xml:space="preserve"> </w:t>
      </w:r>
      <w:r w:rsidRPr="00CA34F5">
        <w:rPr>
          <w:rFonts w:ascii="Arial" w:eastAsia="DIN Next LT Pro Condensed" w:hAnsi="Arial" w:cs="Arial"/>
        </w:rPr>
        <w:t>toma</w:t>
      </w:r>
      <w:r w:rsidRPr="00CA34F5">
        <w:rPr>
          <w:rFonts w:ascii="Arial" w:eastAsia="DIN Next LT Pro Condensed" w:hAnsi="Arial" w:cs="Arial"/>
          <w:spacing w:val="8"/>
        </w:rPr>
        <w:t xml:space="preserve"> </w:t>
      </w:r>
      <w:r w:rsidRPr="00CA34F5">
        <w:rPr>
          <w:rFonts w:ascii="Arial" w:eastAsia="DIN Next LT Pro Condensed" w:hAnsi="Arial" w:cs="Arial"/>
        </w:rPr>
        <w:t>de</w:t>
      </w:r>
      <w:r w:rsidRPr="00CA34F5">
        <w:rPr>
          <w:rFonts w:ascii="Arial" w:eastAsia="DIN Next LT Pro Condensed" w:hAnsi="Arial" w:cs="Arial"/>
          <w:spacing w:val="4"/>
        </w:rPr>
        <w:t xml:space="preserve"> </w:t>
      </w:r>
      <w:r w:rsidRPr="00CA34F5">
        <w:rPr>
          <w:rFonts w:ascii="Arial" w:eastAsia="DIN Next LT Pro Condensed" w:hAnsi="Arial" w:cs="Arial"/>
        </w:rPr>
        <w:t>decisiones</w:t>
      </w:r>
      <w:r w:rsidRPr="00CA34F5">
        <w:rPr>
          <w:rFonts w:ascii="Arial" w:eastAsia="DIN Next LT Pro Condensed" w:hAnsi="Arial" w:cs="Arial"/>
          <w:spacing w:val="15"/>
        </w:rPr>
        <w:t xml:space="preserve"> </w:t>
      </w:r>
      <w:r w:rsidRPr="00CA34F5">
        <w:rPr>
          <w:rFonts w:ascii="Arial" w:eastAsia="DIN Next LT Pro Condensed" w:hAnsi="Arial" w:cs="Arial"/>
        </w:rPr>
        <w:t>financieras</w:t>
      </w:r>
      <w:r w:rsidRPr="00CA34F5">
        <w:rPr>
          <w:rFonts w:ascii="Arial" w:eastAsia="DIN Next LT Pro Condensed" w:hAnsi="Arial" w:cs="Arial"/>
          <w:spacing w:val="16"/>
        </w:rPr>
        <w:t xml:space="preserve"> </w:t>
      </w:r>
      <w:r w:rsidRPr="00CA34F5">
        <w:rPr>
          <w:rFonts w:ascii="Arial" w:eastAsia="DIN Next LT Pro Condensed" w:hAnsi="Arial" w:cs="Arial"/>
        </w:rPr>
        <w:t>y</w:t>
      </w:r>
      <w:r w:rsidRPr="00CA34F5">
        <w:rPr>
          <w:rFonts w:ascii="Arial" w:eastAsia="DIN Next LT Pro Condensed" w:hAnsi="Arial" w:cs="Arial"/>
          <w:spacing w:val="2"/>
        </w:rPr>
        <w:t xml:space="preserve"> </w:t>
      </w:r>
      <w:r w:rsidRPr="00CA34F5">
        <w:rPr>
          <w:rFonts w:ascii="Arial" w:eastAsia="DIN Next LT Pro Condensed" w:hAnsi="Arial" w:cs="Arial"/>
        </w:rPr>
        <w:t>operativas</w:t>
      </w:r>
      <w:r w:rsidRPr="00CA34F5">
        <w:rPr>
          <w:rFonts w:ascii="Arial" w:eastAsia="DIN Next LT Pro Condensed" w:hAnsi="Arial" w:cs="Arial"/>
          <w:spacing w:val="15"/>
        </w:rPr>
        <w:t xml:space="preserve"> </w:t>
      </w:r>
      <w:r w:rsidRPr="00CA34F5">
        <w:rPr>
          <w:rFonts w:ascii="Arial" w:eastAsia="DIN Next LT Pro Condensed" w:hAnsi="Arial" w:cs="Arial"/>
        </w:rPr>
        <w:t>del</w:t>
      </w:r>
      <w:r w:rsidRPr="00CA34F5">
        <w:rPr>
          <w:rFonts w:ascii="Arial" w:eastAsia="DIN Next LT Pro Condensed" w:hAnsi="Arial" w:cs="Arial"/>
          <w:spacing w:val="5"/>
        </w:rPr>
        <w:t xml:space="preserve"> </w:t>
      </w:r>
      <w:r w:rsidRPr="00CA34F5">
        <w:rPr>
          <w:rFonts w:ascii="Arial" w:eastAsia="DIN Next LT Pro Condensed" w:hAnsi="Arial" w:cs="Arial"/>
        </w:rPr>
        <w:t>Gobierno</w:t>
      </w:r>
      <w:r w:rsidRPr="00CA34F5">
        <w:rPr>
          <w:rFonts w:ascii="Arial" w:eastAsia="DIN Next LT Pro Condensed" w:hAnsi="Arial" w:cs="Arial"/>
          <w:spacing w:val="13"/>
        </w:rPr>
        <w:t xml:space="preserve"> </w:t>
      </w:r>
      <w:r w:rsidRPr="00CA34F5">
        <w:rPr>
          <w:rFonts w:ascii="Arial" w:eastAsia="DIN Next LT Pro Condensed" w:hAnsi="Arial" w:cs="Arial"/>
        </w:rPr>
        <w:t>del</w:t>
      </w:r>
      <w:r w:rsidRPr="00CA34F5">
        <w:rPr>
          <w:rFonts w:ascii="Arial" w:eastAsia="DIN Next LT Pro Condensed" w:hAnsi="Arial" w:cs="Arial"/>
          <w:spacing w:val="5"/>
        </w:rPr>
        <w:t xml:space="preserve"> </w:t>
      </w:r>
      <w:r w:rsidRPr="00CA34F5">
        <w:rPr>
          <w:rFonts w:ascii="Arial" w:eastAsia="DIN Next LT Pro Condensed" w:hAnsi="Arial" w:cs="Arial"/>
        </w:rPr>
        <w:t>Estado</w:t>
      </w:r>
      <w:r w:rsidRPr="00CA34F5">
        <w:rPr>
          <w:rFonts w:ascii="Arial" w:eastAsia="DIN Next LT Pro Condensed" w:hAnsi="Arial" w:cs="Arial"/>
          <w:spacing w:val="10"/>
        </w:rPr>
        <w:t xml:space="preserve"> </w:t>
      </w:r>
      <w:r w:rsidRPr="00CA34F5">
        <w:rPr>
          <w:rFonts w:ascii="Arial" w:eastAsia="DIN Next LT Pro Condensed" w:hAnsi="Arial" w:cs="Arial"/>
        </w:rPr>
        <w:t>de</w:t>
      </w:r>
      <w:r w:rsidRPr="00CA34F5">
        <w:rPr>
          <w:rFonts w:ascii="Arial" w:eastAsia="DIN Next LT Pro Condensed" w:hAnsi="Arial" w:cs="Arial"/>
          <w:spacing w:val="4"/>
        </w:rPr>
        <w:t xml:space="preserve"> </w:t>
      </w:r>
      <w:r w:rsidRPr="00CA34F5">
        <w:rPr>
          <w:rFonts w:ascii="Arial" w:eastAsia="DIN Next LT Pro Condensed" w:hAnsi="Arial" w:cs="Arial"/>
          <w:w w:val="102"/>
        </w:rPr>
        <w:t>Tabasco.</w:t>
      </w:r>
    </w:p>
    <w:p w14:paraId="0932A23C" w14:textId="77777777" w:rsidR="00426F4B" w:rsidRPr="00CA34F5" w:rsidRDefault="00426F4B" w:rsidP="000A4C31">
      <w:pPr>
        <w:spacing w:after="0" w:line="240" w:lineRule="auto"/>
        <w:ind w:left="113"/>
        <w:jc w:val="both"/>
        <w:rPr>
          <w:rFonts w:ascii="Arial" w:hAnsi="Arial" w:cs="Arial"/>
        </w:rPr>
      </w:pPr>
    </w:p>
    <w:p w14:paraId="53C77CE2" w14:textId="77777777" w:rsidR="005A7A13" w:rsidRPr="00CA34F5" w:rsidRDefault="005A7A13" w:rsidP="000A4C31">
      <w:pPr>
        <w:autoSpaceDE w:val="0"/>
        <w:autoSpaceDN w:val="0"/>
        <w:adjustRightInd w:val="0"/>
        <w:spacing w:after="0" w:line="240" w:lineRule="auto"/>
        <w:ind w:right="340"/>
        <w:jc w:val="both"/>
        <w:rPr>
          <w:rFonts w:ascii="Arial" w:hAnsi="Arial" w:cs="Arial"/>
          <w:b/>
        </w:rPr>
      </w:pPr>
      <w:r w:rsidRPr="00CA34F5">
        <w:rPr>
          <w:rFonts w:ascii="Arial" w:hAnsi="Arial" w:cs="Arial"/>
          <w:b/>
        </w:rPr>
        <w:t>17. Responsabilidad Sobre la Presentación Razonable de la Información Contable</w:t>
      </w:r>
    </w:p>
    <w:p w14:paraId="270EC2D2" w14:textId="77777777" w:rsidR="005A7A13" w:rsidRPr="00CA34F5" w:rsidRDefault="005A7A13" w:rsidP="000A4C31">
      <w:pPr>
        <w:spacing w:after="0" w:line="240" w:lineRule="auto"/>
        <w:jc w:val="both"/>
        <w:rPr>
          <w:rFonts w:ascii="Arial" w:eastAsia="DIN Next LT Pro Condensed" w:hAnsi="Arial" w:cs="Arial"/>
        </w:rPr>
      </w:pPr>
    </w:p>
    <w:p w14:paraId="5C7D7EA7" w14:textId="28ED7EC4" w:rsidR="003A7613" w:rsidRPr="00CA34F5" w:rsidRDefault="005A7A13" w:rsidP="000A4C31">
      <w:pPr>
        <w:spacing w:after="0" w:line="240" w:lineRule="auto"/>
        <w:jc w:val="both"/>
        <w:rPr>
          <w:rFonts w:ascii="Arial" w:eastAsia="DIN Next LT Pro Condensed" w:hAnsi="Arial" w:cs="Arial"/>
          <w:w w:val="102"/>
        </w:rPr>
      </w:pPr>
      <w:r w:rsidRPr="00CA34F5">
        <w:rPr>
          <w:rFonts w:ascii="Arial" w:eastAsia="DIN Next LT Pro Condensed" w:hAnsi="Arial" w:cs="Arial"/>
        </w:rPr>
        <w:t>La</w:t>
      </w:r>
      <w:r w:rsidRPr="00CA34F5">
        <w:rPr>
          <w:rFonts w:ascii="Arial" w:eastAsia="DIN Next LT Pro Condensed" w:hAnsi="Arial" w:cs="Arial"/>
          <w:spacing w:val="26"/>
        </w:rPr>
        <w:t xml:space="preserve"> </w:t>
      </w:r>
      <w:r w:rsidRPr="00CA34F5">
        <w:rPr>
          <w:rFonts w:ascii="Arial" w:eastAsia="DIN Next LT Pro Condensed" w:hAnsi="Arial" w:cs="Arial"/>
        </w:rPr>
        <w:t>Información</w:t>
      </w:r>
      <w:r w:rsidRPr="00CA34F5">
        <w:rPr>
          <w:rFonts w:ascii="Arial" w:eastAsia="DIN Next LT Pro Condensed" w:hAnsi="Arial" w:cs="Arial"/>
          <w:spacing w:val="39"/>
        </w:rPr>
        <w:t xml:space="preserve"> </w:t>
      </w:r>
      <w:r w:rsidRPr="00CA34F5">
        <w:rPr>
          <w:rFonts w:ascii="Arial" w:eastAsia="DIN Next LT Pro Condensed" w:hAnsi="Arial" w:cs="Arial"/>
        </w:rPr>
        <w:t>Contable</w:t>
      </w:r>
      <w:r w:rsidRPr="00CA34F5">
        <w:rPr>
          <w:rFonts w:ascii="Arial" w:eastAsia="DIN Next LT Pro Condensed" w:hAnsi="Arial" w:cs="Arial"/>
          <w:spacing w:val="34"/>
        </w:rPr>
        <w:t xml:space="preserve"> </w:t>
      </w:r>
      <w:r w:rsidRPr="00CA34F5">
        <w:rPr>
          <w:rFonts w:ascii="Arial" w:eastAsia="DIN Next LT Pro Condensed" w:hAnsi="Arial" w:cs="Arial"/>
        </w:rPr>
        <w:t>se</w:t>
      </w:r>
      <w:r w:rsidRPr="00CA34F5">
        <w:rPr>
          <w:rFonts w:ascii="Arial" w:eastAsia="DIN Next LT Pro Condensed" w:hAnsi="Arial" w:cs="Arial"/>
          <w:spacing w:val="26"/>
        </w:rPr>
        <w:t xml:space="preserve"> </w:t>
      </w:r>
      <w:r w:rsidRPr="00CA34F5">
        <w:rPr>
          <w:rFonts w:ascii="Arial" w:eastAsia="DIN Next LT Pro Condensed" w:hAnsi="Arial" w:cs="Arial"/>
        </w:rPr>
        <w:t>presenta</w:t>
      </w:r>
      <w:r w:rsidRPr="00CA34F5">
        <w:rPr>
          <w:rFonts w:ascii="Arial" w:eastAsia="DIN Next LT Pro Condensed" w:hAnsi="Arial" w:cs="Arial"/>
          <w:spacing w:val="34"/>
        </w:rPr>
        <w:t xml:space="preserve"> </w:t>
      </w:r>
      <w:r w:rsidRPr="00CA34F5">
        <w:rPr>
          <w:rFonts w:ascii="Arial" w:eastAsia="DIN Next LT Pro Condensed" w:hAnsi="Arial" w:cs="Arial"/>
        </w:rPr>
        <w:t>firmada</w:t>
      </w:r>
      <w:r w:rsidRPr="00CA34F5">
        <w:rPr>
          <w:rFonts w:ascii="Arial" w:eastAsia="DIN Next LT Pro Condensed" w:hAnsi="Arial" w:cs="Arial"/>
          <w:spacing w:val="33"/>
        </w:rPr>
        <w:t xml:space="preserve"> </w:t>
      </w:r>
      <w:r w:rsidRPr="00CA34F5">
        <w:rPr>
          <w:rFonts w:ascii="Arial" w:eastAsia="DIN Next LT Pro Condensed" w:hAnsi="Arial" w:cs="Arial"/>
        </w:rPr>
        <w:t>en</w:t>
      </w:r>
      <w:r w:rsidRPr="00CA34F5">
        <w:rPr>
          <w:rFonts w:ascii="Arial" w:eastAsia="DIN Next LT Pro Condensed" w:hAnsi="Arial" w:cs="Arial"/>
          <w:spacing w:val="26"/>
        </w:rPr>
        <w:t xml:space="preserve"> </w:t>
      </w:r>
      <w:r w:rsidRPr="00CA34F5">
        <w:rPr>
          <w:rFonts w:ascii="Arial" w:eastAsia="DIN Next LT Pro Condensed" w:hAnsi="Arial" w:cs="Arial"/>
        </w:rPr>
        <w:t>cada</w:t>
      </w:r>
      <w:r w:rsidRPr="00CA34F5">
        <w:rPr>
          <w:rFonts w:ascii="Arial" w:eastAsia="DIN Next LT Pro Condensed" w:hAnsi="Arial" w:cs="Arial"/>
          <w:spacing w:val="29"/>
        </w:rPr>
        <w:t xml:space="preserve"> </w:t>
      </w:r>
      <w:r w:rsidRPr="00CA34F5">
        <w:rPr>
          <w:rFonts w:ascii="Arial" w:eastAsia="DIN Next LT Pro Condensed" w:hAnsi="Arial" w:cs="Arial"/>
        </w:rPr>
        <w:t>página</w:t>
      </w:r>
      <w:r w:rsidRPr="00CA34F5">
        <w:rPr>
          <w:rFonts w:ascii="Arial" w:eastAsia="DIN Next LT Pro Condensed" w:hAnsi="Arial" w:cs="Arial"/>
          <w:spacing w:val="32"/>
        </w:rPr>
        <w:t xml:space="preserve"> </w:t>
      </w:r>
      <w:r w:rsidRPr="00CA34F5">
        <w:rPr>
          <w:rFonts w:ascii="Arial" w:eastAsia="DIN Next LT Pro Condensed" w:hAnsi="Arial" w:cs="Arial"/>
        </w:rPr>
        <w:t>de</w:t>
      </w:r>
      <w:r w:rsidRPr="00CA34F5">
        <w:rPr>
          <w:rFonts w:ascii="Arial" w:eastAsia="DIN Next LT Pro Condensed" w:hAnsi="Arial" w:cs="Arial"/>
          <w:spacing w:val="26"/>
        </w:rPr>
        <w:t xml:space="preserve"> </w:t>
      </w:r>
      <w:r w:rsidRPr="00CA34F5">
        <w:rPr>
          <w:rFonts w:ascii="Arial" w:eastAsia="DIN Next LT Pro Condensed" w:hAnsi="Arial" w:cs="Arial"/>
        </w:rPr>
        <w:t>la</w:t>
      </w:r>
      <w:r w:rsidRPr="00CA34F5">
        <w:rPr>
          <w:rFonts w:ascii="Arial" w:eastAsia="DIN Next LT Pro Condensed" w:hAnsi="Arial" w:cs="Arial"/>
          <w:spacing w:val="25"/>
        </w:rPr>
        <w:t xml:space="preserve"> </w:t>
      </w:r>
      <w:r w:rsidRPr="00CA34F5">
        <w:rPr>
          <w:rFonts w:ascii="Arial" w:eastAsia="DIN Next LT Pro Condensed" w:hAnsi="Arial" w:cs="Arial"/>
        </w:rPr>
        <w:t>misma,</w:t>
      </w:r>
      <w:r w:rsidRPr="00CA34F5">
        <w:rPr>
          <w:rFonts w:ascii="Arial" w:eastAsia="DIN Next LT Pro Condensed" w:hAnsi="Arial" w:cs="Arial"/>
          <w:spacing w:val="32"/>
        </w:rPr>
        <w:t xml:space="preserve"> </w:t>
      </w:r>
      <w:r w:rsidRPr="00CA34F5">
        <w:rPr>
          <w:rFonts w:ascii="Arial" w:eastAsia="DIN Next LT Pro Condensed" w:hAnsi="Arial" w:cs="Arial"/>
        </w:rPr>
        <w:t>e</w:t>
      </w:r>
      <w:r w:rsidRPr="00CA34F5">
        <w:rPr>
          <w:rFonts w:ascii="Arial" w:eastAsia="DIN Next LT Pro Condensed" w:hAnsi="Arial" w:cs="Arial"/>
          <w:spacing w:val="24"/>
        </w:rPr>
        <w:t xml:space="preserve"> </w:t>
      </w:r>
      <w:r w:rsidRPr="00CA34F5">
        <w:rPr>
          <w:rFonts w:ascii="Arial" w:eastAsia="DIN Next LT Pro Condensed" w:hAnsi="Arial" w:cs="Arial"/>
        </w:rPr>
        <w:t>incluye</w:t>
      </w:r>
      <w:r w:rsidRPr="00CA34F5">
        <w:rPr>
          <w:rFonts w:ascii="Arial" w:eastAsia="DIN Next LT Pro Condensed" w:hAnsi="Arial" w:cs="Arial"/>
          <w:spacing w:val="32"/>
        </w:rPr>
        <w:t xml:space="preserve"> </w:t>
      </w:r>
      <w:r w:rsidRPr="00CA34F5">
        <w:rPr>
          <w:rFonts w:ascii="Arial" w:eastAsia="DIN Next LT Pro Condensed" w:hAnsi="Arial" w:cs="Arial"/>
        </w:rPr>
        <w:t>al</w:t>
      </w:r>
      <w:r w:rsidRPr="00CA34F5">
        <w:rPr>
          <w:rFonts w:ascii="Arial" w:eastAsia="DIN Next LT Pro Condensed" w:hAnsi="Arial" w:cs="Arial"/>
          <w:spacing w:val="25"/>
        </w:rPr>
        <w:t xml:space="preserve"> </w:t>
      </w:r>
      <w:r w:rsidRPr="00CA34F5">
        <w:rPr>
          <w:rFonts w:ascii="Arial" w:eastAsia="DIN Next LT Pro Condensed" w:hAnsi="Arial" w:cs="Arial"/>
        </w:rPr>
        <w:t>final</w:t>
      </w:r>
      <w:r w:rsidRPr="00CA34F5">
        <w:rPr>
          <w:rFonts w:ascii="Arial" w:eastAsia="DIN Next LT Pro Condensed" w:hAnsi="Arial" w:cs="Arial"/>
          <w:spacing w:val="29"/>
        </w:rPr>
        <w:t xml:space="preserve"> </w:t>
      </w:r>
      <w:r w:rsidRPr="00CA34F5">
        <w:rPr>
          <w:rFonts w:ascii="Arial" w:eastAsia="DIN Next LT Pro Condensed" w:hAnsi="Arial" w:cs="Arial"/>
        </w:rPr>
        <w:t>la</w:t>
      </w:r>
      <w:r w:rsidRPr="00CA34F5">
        <w:rPr>
          <w:rFonts w:ascii="Arial" w:eastAsia="DIN Next LT Pro Condensed" w:hAnsi="Arial" w:cs="Arial"/>
          <w:spacing w:val="25"/>
        </w:rPr>
        <w:t xml:space="preserve"> </w:t>
      </w:r>
      <w:r w:rsidRPr="00CA34F5">
        <w:rPr>
          <w:rFonts w:ascii="Arial" w:eastAsia="DIN Next LT Pro Condensed" w:hAnsi="Arial" w:cs="Arial"/>
        </w:rPr>
        <w:t>leyenda:</w:t>
      </w:r>
      <w:r w:rsidRPr="00CA34F5">
        <w:rPr>
          <w:rFonts w:ascii="Arial" w:eastAsia="DIN Next LT Pro Condensed" w:hAnsi="Arial" w:cs="Arial"/>
          <w:spacing w:val="34"/>
        </w:rPr>
        <w:t xml:space="preserve"> </w:t>
      </w:r>
      <w:r w:rsidRPr="00CA34F5">
        <w:rPr>
          <w:rFonts w:ascii="Arial" w:eastAsia="DIN Next LT Pro Condensed" w:hAnsi="Arial" w:cs="Arial"/>
        </w:rPr>
        <w:t>Bajo</w:t>
      </w:r>
      <w:r w:rsidRPr="00CA34F5">
        <w:rPr>
          <w:rFonts w:ascii="Arial" w:eastAsia="DIN Next LT Pro Condensed" w:hAnsi="Arial" w:cs="Arial"/>
          <w:spacing w:val="29"/>
        </w:rPr>
        <w:t xml:space="preserve"> </w:t>
      </w:r>
      <w:r w:rsidRPr="00CA34F5">
        <w:rPr>
          <w:rFonts w:ascii="Arial" w:eastAsia="DIN Next LT Pro Condensed" w:hAnsi="Arial" w:cs="Arial"/>
        </w:rPr>
        <w:t>protesta</w:t>
      </w:r>
      <w:r w:rsidRPr="00CA34F5">
        <w:rPr>
          <w:rFonts w:ascii="Arial" w:eastAsia="DIN Next LT Pro Condensed" w:hAnsi="Arial" w:cs="Arial"/>
          <w:spacing w:val="34"/>
        </w:rPr>
        <w:t xml:space="preserve"> </w:t>
      </w:r>
      <w:r w:rsidRPr="00CA34F5">
        <w:rPr>
          <w:rFonts w:ascii="Arial" w:eastAsia="DIN Next LT Pro Condensed" w:hAnsi="Arial" w:cs="Arial"/>
        </w:rPr>
        <w:t>de</w:t>
      </w:r>
      <w:r w:rsidRPr="00CA34F5">
        <w:rPr>
          <w:rFonts w:ascii="Arial" w:eastAsia="DIN Next LT Pro Condensed" w:hAnsi="Arial" w:cs="Arial"/>
          <w:spacing w:val="26"/>
        </w:rPr>
        <w:t xml:space="preserve"> </w:t>
      </w:r>
      <w:r w:rsidRPr="00CA34F5">
        <w:rPr>
          <w:rFonts w:ascii="Arial" w:eastAsia="DIN Next LT Pro Condensed" w:hAnsi="Arial" w:cs="Arial"/>
        </w:rPr>
        <w:t>decir</w:t>
      </w:r>
      <w:r w:rsidRPr="00CA34F5">
        <w:rPr>
          <w:rFonts w:ascii="Arial" w:eastAsia="DIN Next LT Pro Condensed" w:hAnsi="Arial" w:cs="Arial"/>
          <w:spacing w:val="29"/>
        </w:rPr>
        <w:t xml:space="preserve"> </w:t>
      </w:r>
      <w:r w:rsidRPr="00CA34F5">
        <w:rPr>
          <w:rFonts w:ascii="Arial" w:eastAsia="DIN Next LT Pro Condensed" w:hAnsi="Arial" w:cs="Arial"/>
        </w:rPr>
        <w:t>verdad,</w:t>
      </w:r>
      <w:r w:rsidRPr="00CA34F5">
        <w:rPr>
          <w:rFonts w:ascii="Arial" w:eastAsia="DIN Next LT Pro Condensed" w:hAnsi="Arial" w:cs="Arial"/>
          <w:spacing w:val="33"/>
        </w:rPr>
        <w:t xml:space="preserve"> </w:t>
      </w:r>
      <w:r w:rsidRPr="00CA34F5">
        <w:rPr>
          <w:rFonts w:ascii="Arial" w:eastAsia="DIN Next LT Pro Condensed" w:hAnsi="Arial" w:cs="Arial"/>
        </w:rPr>
        <w:t>declaramos</w:t>
      </w:r>
      <w:r w:rsidRPr="00CA34F5">
        <w:rPr>
          <w:rFonts w:ascii="Arial" w:eastAsia="DIN Next LT Pro Condensed" w:hAnsi="Arial" w:cs="Arial"/>
          <w:spacing w:val="38"/>
        </w:rPr>
        <w:t xml:space="preserve"> </w:t>
      </w:r>
      <w:r w:rsidRPr="00CA34F5">
        <w:rPr>
          <w:rFonts w:ascii="Arial" w:eastAsia="DIN Next LT Pro Condensed" w:hAnsi="Arial" w:cs="Arial"/>
        </w:rPr>
        <w:t>que</w:t>
      </w:r>
      <w:r w:rsidRPr="00CA34F5">
        <w:rPr>
          <w:rFonts w:ascii="Arial" w:eastAsia="DIN Next LT Pro Condensed" w:hAnsi="Arial" w:cs="Arial"/>
          <w:spacing w:val="28"/>
        </w:rPr>
        <w:t xml:space="preserve"> </w:t>
      </w:r>
      <w:r w:rsidRPr="00CA34F5">
        <w:rPr>
          <w:rFonts w:ascii="Arial" w:eastAsia="DIN Next LT Pro Condensed" w:hAnsi="Arial" w:cs="Arial"/>
        </w:rPr>
        <w:t>los</w:t>
      </w:r>
      <w:r w:rsidRPr="00CA34F5">
        <w:rPr>
          <w:rFonts w:ascii="Arial" w:eastAsia="DIN Next LT Pro Condensed" w:hAnsi="Arial" w:cs="Arial"/>
          <w:spacing w:val="27"/>
        </w:rPr>
        <w:t xml:space="preserve"> </w:t>
      </w:r>
      <w:r w:rsidRPr="00CA34F5">
        <w:rPr>
          <w:rFonts w:ascii="Arial" w:eastAsia="DIN Next LT Pro Condensed" w:hAnsi="Arial" w:cs="Arial"/>
        </w:rPr>
        <w:t>Estados</w:t>
      </w:r>
      <w:r w:rsidRPr="00CA34F5">
        <w:rPr>
          <w:rFonts w:ascii="Arial" w:eastAsia="DIN Next LT Pro Condensed" w:hAnsi="Arial" w:cs="Arial"/>
          <w:spacing w:val="33"/>
        </w:rPr>
        <w:t xml:space="preserve"> </w:t>
      </w:r>
      <w:r w:rsidRPr="00CA34F5">
        <w:rPr>
          <w:rFonts w:ascii="Arial" w:eastAsia="DIN Next LT Pro Condensed" w:hAnsi="Arial" w:cs="Arial"/>
        </w:rPr>
        <w:t>Financieros</w:t>
      </w:r>
      <w:r w:rsidRPr="00CA34F5">
        <w:rPr>
          <w:rFonts w:ascii="Arial" w:eastAsia="DIN Next LT Pro Condensed" w:hAnsi="Arial" w:cs="Arial"/>
          <w:spacing w:val="38"/>
        </w:rPr>
        <w:t xml:space="preserve"> </w:t>
      </w:r>
      <w:r w:rsidRPr="00CA34F5">
        <w:rPr>
          <w:rFonts w:ascii="Arial" w:eastAsia="DIN Next LT Pro Condensed" w:hAnsi="Arial" w:cs="Arial"/>
        </w:rPr>
        <w:t>y</w:t>
      </w:r>
      <w:r w:rsidRPr="00CA34F5">
        <w:rPr>
          <w:rFonts w:ascii="Arial" w:eastAsia="DIN Next LT Pro Condensed" w:hAnsi="Arial" w:cs="Arial"/>
          <w:spacing w:val="24"/>
        </w:rPr>
        <w:t xml:space="preserve"> </w:t>
      </w:r>
      <w:r w:rsidRPr="00CA34F5">
        <w:rPr>
          <w:rFonts w:ascii="Arial" w:eastAsia="DIN Next LT Pro Condensed" w:hAnsi="Arial" w:cs="Arial"/>
        </w:rPr>
        <w:t>sus</w:t>
      </w:r>
      <w:r w:rsidRPr="00CA34F5">
        <w:rPr>
          <w:rFonts w:ascii="Arial" w:eastAsia="DIN Next LT Pro Condensed" w:hAnsi="Arial" w:cs="Arial"/>
          <w:spacing w:val="27"/>
        </w:rPr>
        <w:t xml:space="preserve"> </w:t>
      </w:r>
      <w:r w:rsidRPr="00CA34F5">
        <w:rPr>
          <w:rFonts w:ascii="Arial" w:eastAsia="DIN Next LT Pro Condensed" w:hAnsi="Arial" w:cs="Arial"/>
        </w:rPr>
        <w:t>notas,</w:t>
      </w:r>
      <w:r w:rsidRPr="00CA34F5">
        <w:rPr>
          <w:rFonts w:ascii="Arial" w:eastAsia="DIN Next LT Pro Condensed" w:hAnsi="Arial" w:cs="Arial"/>
          <w:spacing w:val="31"/>
        </w:rPr>
        <w:t xml:space="preserve"> </w:t>
      </w:r>
      <w:r w:rsidRPr="00CA34F5">
        <w:rPr>
          <w:rFonts w:ascii="Arial" w:eastAsia="DIN Next LT Pro Condensed" w:hAnsi="Arial" w:cs="Arial"/>
          <w:w w:val="102"/>
        </w:rPr>
        <w:t xml:space="preserve">son </w:t>
      </w:r>
      <w:r w:rsidRPr="00CA34F5">
        <w:rPr>
          <w:rFonts w:ascii="Arial" w:eastAsia="DIN Next LT Pro Condensed" w:hAnsi="Arial" w:cs="Arial"/>
        </w:rPr>
        <w:t>razonablemente</w:t>
      </w:r>
      <w:r w:rsidRPr="00CA34F5">
        <w:rPr>
          <w:rFonts w:ascii="Arial" w:eastAsia="DIN Next LT Pro Condensed" w:hAnsi="Arial" w:cs="Arial"/>
          <w:spacing w:val="22"/>
        </w:rPr>
        <w:t xml:space="preserve"> </w:t>
      </w:r>
      <w:r w:rsidRPr="00CA34F5">
        <w:rPr>
          <w:rFonts w:ascii="Arial" w:eastAsia="DIN Next LT Pro Condensed" w:hAnsi="Arial" w:cs="Arial"/>
        </w:rPr>
        <w:t>correctos</w:t>
      </w:r>
      <w:r w:rsidRPr="00CA34F5">
        <w:rPr>
          <w:rFonts w:ascii="Arial" w:eastAsia="DIN Next LT Pro Condensed" w:hAnsi="Arial" w:cs="Arial"/>
          <w:spacing w:val="13"/>
        </w:rPr>
        <w:t xml:space="preserve"> </w:t>
      </w:r>
      <w:r w:rsidRPr="00CA34F5">
        <w:rPr>
          <w:rFonts w:ascii="Arial" w:eastAsia="DIN Next LT Pro Condensed" w:hAnsi="Arial" w:cs="Arial"/>
        </w:rPr>
        <w:t>y</w:t>
      </w:r>
      <w:r w:rsidRPr="00CA34F5">
        <w:rPr>
          <w:rFonts w:ascii="Arial" w:eastAsia="DIN Next LT Pro Condensed" w:hAnsi="Arial" w:cs="Arial"/>
          <w:spacing w:val="2"/>
        </w:rPr>
        <w:t xml:space="preserve"> </w:t>
      </w:r>
      <w:r w:rsidRPr="00CA34F5">
        <w:rPr>
          <w:rFonts w:ascii="Arial" w:eastAsia="DIN Next LT Pro Condensed" w:hAnsi="Arial" w:cs="Arial"/>
        </w:rPr>
        <w:t>son</w:t>
      </w:r>
      <w:r w:rsidRPr="00CA34F5">
        <w:rPr>
          <w:rFonts w:ascii="Arial" w:eastAsia="DIN Next LT Pro Condensed" w:hAnsi="Arial" w:cs="Arial"/>
          <w:spacing w:val="6"/>
        </w:rPr>
        <w:t xml:space="preserve"> </w:t>
      </w:r>
      <w:r w:rsidRPr="00CA34F5">
        <w:rPr>
          <w:rFonts w:ascii="Arial" w:eastAsia="DIN Next LT Pro Condensed" w:hAnsi="Arial" w:cs="Arial"/>
        </w:rPr>
        <w:t>responsabilidad</w:t>
      </w:r>
      <w:r w:rsidRPr="00CA34F5">
        <w:rPr>
          <w:rFonts w:ascii="Arial" w:eastAsia="DIN Next LT Pro Condensed" w:hAnsi="Arial" w:cs="Arial"/>
          <w:spacing w:val="22"/>
        </w:rPr>
        <w:t xml:space="preserve"> </w:t>
      </w:r>
      <w:r w:rsidRPr="00CA34F5">
        <w:rPr>
          <w:rFonts w:ascii="Arial" w:eastAsia="DIN Next LT Pro Condensed" w:hAnsi="Arial" w:cs="Arial"/>
        </w:rPr>
        <w:t>del</w:t>
      </w:r>
      <w:r w:rsidRPr="00CA34F5">
        <w:rPr>
          <w:rFonts w:ascii="Arial" w:eastAsia="DIN Next LT Pro Condensed" w:hAnsi="Arial" w:cs="Arial"/>
          <w:spacing w:val="5"/>
        </w:rPr>
        <w:t xml:space="preserve"> </w:t>
      </w:r>
      <w:r w:rsidRPr="00CA34F5">
        <w:rPr>
          <w:rFonts w:ascii="Arial" w:eastAsia="DIN Next LT Pro Condensed" w:hAnsi="Arial" w:cs="Arial"/>
          <w:w w:val="102"/>
        </w:rPr>
        <w:t>emisor.</w:t>
      </w:r>
    </w:p>
    <w:p w14:paraId="308EDD41" w14:textId="7D6E27F5" w:rsidR="00426F4B" w:rsidRPr="00CA34F5" w:rsidRDefault="006F4618" w:rsidP="000A4C31">
      <w:pPr>
        <w:spacing w:after="0" w:line="240" w:lineRule="auto"/>
        <w:jc w:val="both"/>
        <w:rPr>
          <w:rFonts w:ascii="Arial" w:eastAsia="DIN Next LT Pro Condensed" w:hAnsi="Arial" w:cs="Arial"/>
        </w:rPr>
      </w:pPr>
      <w:r w:rsidRPr="00CA34F5">
        <w:rPr>
          <w:rFonts w:ascii="Arial" w:eastAsia="DIN Next LT Pro" w:hAnsi="Arial" w:cs="Arial"/>
          <w:b/>
          <w:noProof/>
          <w:lang w:eastAsia="es-MX"/>
        </w:rPr>
        <mc:AlternateContent>
          <mc:Choice Requires="wps">
            <w:drawing>
              <wp:anchor distT="0" distB="0" distL="114300" distR="114300" simplePos="0" relativeHeight="251511296" behindDoc="0" locked="0" layoutInCell="1" allowOverlap="1" wp14:anchorId="72BB6F9E" wp14:editId="6A5A70E0">
                <wp:simplePos x="0" y="0"/>
                <wp:positionH relativeFrom="margin">
                  <wp:posOffset>-66675</wp:posOffset>
                </wp:positionH>
                <wp:positionV relativeFrom="paragraph">
                  <wp:posOffset>36195</wp:posOffset>
                </wp:positionV>
                <wp:extent cx="8418830" cy="6350"/>
                <wp:effectExtent l="0" t="0" r="20320" b="31750"/>
                <wp:wrapNone/>
                <wp:docPr id="1135" name="1135 Conector recto"/>
                <wp:cNvGraphicFramePr/>
                <a:graphic xmlns:a="http://schemas.openxmlformats.org/drawingml/2006/main">
                  <a:graphicData uri="http://schemas.microsoft.com/office/word/2010/wordprocessingShape">
                    <wps:wsp>
                      <wps:cNvCnPr/>
                      <wps:spPr>
                        <a:xfrm>
                          <a:off x="0" y="0"/>
                          <a:ext cx="841883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E96EC1" id="1135 Conector recto" o:spid="_x0000_s1026" style="position:absolute;z-index:251511296;visibility:visible;mso-wrap-style:square;mso-wrap-distance-left:9pt;mso-wrap-distance-top:0;mso-wrap-distance-right:9pt;mso-wrap-distance-bottom:0;mso-position-horizontal:absolute;mso-position-horizontal-relative:margin;mso-position-vertical:absolute;mso-position-vertical-relative:text" from="-5.25pt,2.85pt" to="657.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" strokecolor="black [3040]">
                <w10:wrap anchorx="margin"/>
              </v:line>
            </w:pict>
          </mc:Fallback>
        </mc:AlternateContent>
      </w:r>
    </w:p>
    <w:tbl>
      <w:tblPr>
        <w:tblpPr w:leftFromText="141" w:rightFromText="141" w:vertAnchor="page" w:horzAnchor="margin" w:tblpY="9586"/>
        <w:tblOverlap w:val="never"/>
        <w:tblW w:w="12900" w:type="dxa"/>
        <w:tblCellMar>
          <w:left w:w="70" w:type="dxa"/>
          <w:right w:w="70" w:type="dxa"/>
        </w:tblCellMar>
        <w:tblLook w:val="04A0" w:firstRow="1" w:lastRow="0" w:firstColumn="1" w:lastColumn="0" w:noHBand="0" w:noVBand="1"/>
      </w:tblPr>
      <w:tblGrid>
        <w:gridCol w:w="2480"/>
        <w:gridCol w:w="425"/>
        <w:gridCol w:w="3568"/>
        <w:gridCol w:w="401"/>
        <w:gridCol w:w="2928"/>
        <w:gridCol w:w="333"/>
        <w:gridCol w:w="1028"/>
        <w:gridCol w:w="780"/>
        <w:gridCol w:w="957"/>
      </w:tblGrid>
      <w:tr w:rsidR="00426F4B" w:rsidRPr="00CA34F5" w14:paraId="7E71B099" w14:textId="77777777" w:rsidTr="000A4C31">
        <w:trPr>
          <w:trHeight w:val="300"/>
        </w:trPr>
        <w:tc>
          <w:tcPr>
            <w:tcW w:w="2480" w:type="dxa"/>
            <w:tcBorders>
              <w:top w:val="nil"/>
              <w:left w:val="nil"/>
              <w:bottom w:val="single" w:sz="4" w:space="0" w:color="000000"/>
              <w:right w:val="nil"/>
            </w:tcBorders>
            <w:shd w:val="clear" w:color="000000" w:fill="FFFFFF"/>
            <w:hideMark/>
          </w:tcPr>
          <w:p w14:paraId="53EF33D3" w14:textId="01034ECC" w:rsidR="00426F4B" w:rsidRPr="00CA34F5" w:rsidRDefault="00426F4B"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425" w:type="dxa"/>
            <w:tcBorders>
              <w:top w:val="nil"/>
              <w:left w:val="nil"/>
              <w:bottom w:val="nil"/>
              <w:right w:val="nil"/>
            </w:tcBorders>
            <w:shd w:val="clear" w:color="000000" w:fill="FFFFFF"/>
            <w:hideMark/>
          </w:tcPr>
          <w:p w14:paraId="1AA401BE" w14:textId="77777777" w:rsidR="00426F4B" w:rsidRPr="00CA34F5" w:rsidRDefault="00426F4B"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3568" w:type="dxa"/>
            <w:tcBorders>
              <w:top w:val="nil"/>
              <w:left w:val="nil"/>
              <w:bottom w:val="single" w:sz="4" w:space="0" w:color="000000"/>
              <w:right w:val="nil"/>
            </w:tcBorders>
            <w:shd w:val="clear" w:color="000000" w:fill="FFFFFF"/>
            <w:hideMark/>
          </w:tcPr>
          <w:p w14:paraId="20E39291" w14:textId="77777777" w:rsidR="00426F4B" w:rsidRPr="00CA34F5" w:rsidRDefault="00426F4B"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401" w:type="dxa"/>
            <w:tcBorders>
              <w:top w:val="nil"/>
              <w:left w:val="nil"/>
              <w:bottom w:val="nil"/>
              <w:right w:val="nil"/>
            </w:tcBorders>
            <w:shd w:val="clear" w:color="000000" w:fill="FFFFFF"/>
            <w:hideMark/>
          </w:tcPr>
          <w:p w14:paraId="557A9586" w14:textId="77777777" w:rsidR="00426F4B" w:rsidRPr="00CA34F5" w:rsidRDefault="00426F4B"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2928" w:type="dxa"/>
            <w:tcBorders>
              <w:top w:val="nil"/>
              <w:left w:val="nil"/>
              <w:bottom w:val="single" w:sz="4" w:space="0" w:color="000000"/>
              <w:right w:val="nil"/>
            </w:tcBorders>
            <w:shd w:val="clear" w:color="000000" w:fill="FFFFFF"/>
            <w:hideMark/>
          </w:tcPr>
          <w:p w14:paraId="5AC70F25" w14:textId="77777777" w:rsidR="00426F4B" w:rsidRPr="00CA34F5" w:rsidRDefault="00426F4B"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333" w:type="dxa"/>
            <w:tcBorders>
              <w:top w:val="nil"/>
              <w:left w:val="nil"/>
              <w:bottom w:val="nil"/>
              <w:right w:val="nil"/>
            </w:tcBorders>
            <w:shd w:val="clear" w:color="000000" w:fill="FFFFFF"/>
            <w:hideMark/>
          </w:tcPr>
          <w:p w14:paraId="219CD3A3" w14:textId="77777777" w:rsidR="00426F4B" w:rsidRPr="00CA34F5" w:rsidRDefault="00426F4B"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1028" w:type="dxa"/>
            <w:tcBorders>
              <w:top w:val="nil"/>
              <w:left w:val="nil"/>
              <w:bottom w:val="single" w:sz="4" w:space="0" w:color="000000"/>
              <w:right w:val="nil"/>
            </w:tcBorders>
            <w:shd w:val="clear" w:color="000000" w:fill="FFFFFF"/>
            <w:hideMark/>
          </w:tcPr>
          <w:p w14:paraId="186FDBD9" w14:textId="77777777" w:rsidR="00426F4B" w:rsidRPr="00CA34F5" w:rsidRDefault="00426F4B"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780" w:type="dxa"/>
            <w:tcBorders>
              <w:top w:val="nil"/>
              <w:left w:val="nil"/>
              <w:bottom w:val="single" w:sz="4" w:space="0" w:color="000000"/>
              <w:right w:val="nil"/>
            </w:tcBorders>
            <w:shd w:val="clear" w:color="000000" w:fill="FFFFFF"/>
            <w:hideMark/>
          </w:tcPr>
          <w:p w14:paraId="1651E030" w14:textId="77777777" w:rsidR="00426F4B" w:rsidRPr="00CA34F5" w:rsidRDefault="00426F4B"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957" w:type="dxa"/>
            <w:tcBorders>
              <w:top w:val="nil"/>
              <w:left w:val="nil"/>
              <w:bottom w:val="single" w:sz="4" w:space="0" w:color="000000"/>
              <w:right w:val="nil"/>
            </w:tcBorders>
            <w:shd w:val="clear" w:color="000000" w:fill="FFFFFF"/>
            <w:hideMark/>
          </w:tcPr>
          <w:p w14:paraId="5E12486F" w14:textId="77777777" w:rsidR="00426F4B" w:rsidRPr="00CA34F5" w:rsidRDefault="00426F4B"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r>
      <w:tr w:rsidR="00426F4B" w:rsidRPr="00CA34F5" w14:paraId="32F2BEA0" w14:textId="77777777" w:rsidTr="000A4C31">
        <w:trPr>
          <w:trHeight w:val="300"/>
        </w:trPr>
        <w:tc>
          <w:tcPr>
            <w:tcW w:w="2480" w:type="dxa"/>
            <w:tcBorders>
              <w:top w:val="nil"/>
              <w:left w:val="nil"/>
              <w:bottom w:val="nil"/>
              <w:right w:val="nil"/>
            </w:tcBorders>
            <w:shd w:val="clear" w:color="000000" w:fill="FFFFFF"/>
            <w:hideMark/>
          </w:tcPr>
          <w:p w14:paraId="6A90DB76" w14:textId="5F103595" w:rsidR="00426F4B" w:rsidRPr="00CA34F5" w:rsidRDefault="00426F4B" w:rsidP="000A4C31">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C.P. Said Arminio Mena Oropeza</w:t>
            </w:r>
          </w:p>
        </w:tc>
        <w:tc>
          <w:tcPr>
            <w:tcW w:w="425" w:type="dxa"/>
            <w:tcBorders>
              <w:top w:val="nil"/>
              <w:left w:val="nil"/>
              <w:bottom w:val="nil"/>
              <w:right w:val="nil"/>
            </w:tcBorders>
            <w:shd w:val="clear" w:color="000000" w:fill="FFFFFF"/>
            <w:hideMark/>
          </w:tcPr>
          <w:p w14:paraId="52401DB3" w14:textId="77777777" w:rsidR="00426F4B" w:rsidRPr="00CA34F5" w:rsidRDefault="00426F4B"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3568" w:type="dxa"/>
            <w:tcBorders>
              <w:top w:val="nil"/>
              <w:left w:val="nil"/>
              <w:bottom w:val="nil"/>
              <w:right w:val="nil"/>
            </w:tcBorders>
            <w:shd w:val="clear" w:color="000000" w:fill="FFFFFF"/>
            <w:hideMark/>
          </w:tcPr>
          <w:p w14:paraId="00C04215" w14:textId="77777777" w:rsidR="00426F4B" w:rsidRPr="00CA34F5" w:rsidRDefault="00426F4B" w:rsidP="000A4C31">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L.C.P. Julián Enrique Romero Oropeza</w:t>
            </w:r>
          </w:p>
        </w:tc>
        <w:tc>
          <w:tcPr>
            <w:tcW w:w="401" w:type="dxa"/>
            <w:tcBorders>
              <w:top w:val="nil"/>
              <w:left w:val="nil"/>
              <w:bottom w:val="nil"/>
              <w:right w:val="nil"/>
            </w:tcBorders>
            <w:shd w:val="clear" w:color="000000" w:fill="FFFFFF"/>
            <w:hideMark/>
          </w:tcPr>
          <w:p w14:paraId="6AB3E23D" w14:textId="77777777" w:rsidR="00426F4B" w:rsidRPr="00CA34F5" w:rsidRDefault="00426F4B"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2928" w:type="dxa"/>
            <w:tcBorders>
              <w:top w:val="nil"/>
              <w:left w:val="nil"/>
              <w:bottom w:val="nil"/>
              <w:right w:val="nil"/>
            </w:tcBorders>
            <w:shd w:val="clear" w:color="000000" w:fill="FFFFFF"/>
            <w:hideMark/>
          </w:tcPr>
          <w:p w14:paraId="11FB2A5C" w14:textId="77777777" w:rsidR="00426F4B" w:rsidRPr="00CA34F5" w:rsidRDefault="00426F4B" w:rsidP="000A4C31">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L.A.E. Armando Piña Gutiérrez</w:t>
            </w:r>
          </w:p>
        </w:tc>
        <w:tc>
          <w:tcPr>
            <w:tcW w:w="333" w:type="dxa"/>
            <w:tcBorders>
              <w:top w:val="nil"/>
              <w:left w:val="nil"/>
              <w:bottom w:val="nil"/>
              <w:right w:val="nil"/>
            </w:tcBorders>
            <w:shd w:val="clear" w:color="000000" w:fill="FFFFFF"/>
            <w:hideMark/>
          </w:tcPr>
          <w:p w14:paraId="6B94D573" w14:textId="77777777" w:rsidR="00426F4B" w:rsidRPr="00CA34F5" w:rsidRDefault="00426F4B"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2765" w:type="dxa"/>
            <w:gridSpan w:val="3"/>
            <w:tcBorders>
              <w:top w:val="single" w:sz="4" w:space="0" w:color="000000"/>
              <w:left w:val="nil"/>
              <w:bottom w:val="nil"/>
              <w:right w:val="nil"/>
            </w:tcBorders>
            <w:shd w:val="clear" w:color="000000" w:fill="FFFFFF"/>
            <w:hideMark/>
          </w:tcPr>
          <w:p w14:paraId="47CD884D" w14:textId="77777777" w:rsidR="00426F4B" w:rsidRPr="00CA34F5" w:rsidRDefault="00426F4B" w:rsidP="000A4C31">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C.P. Sergio Hermilo Jiménez Torres</w:t>
            </w:r>
          </w:p>
        </w:tc>
      </w:tr>
      <w:tr w:rsidR="00426F4B" w:rsidRPr="00CA34F5" w14:paraId="2372C619" w14:textId="77777777" w:rsidTr="000A4C31">
        <w:trPr>
          <w:trHeight w:val="300"/>
        </w:trPr>
        <w:tc>
          <w:tcPr>
            <w:tcW w:w="2480" w:type="dxa"/>
            <w:tcBorders>
              <w:top w:val="nil"/>
              <w:left w:val="nil"/>
              <w:bottom w:val="nil"/>
              <w:right w:val="nil"/>
            </w:tcBorders>
            <w:shd w:val="clear" w:color="000000" w:fill="FFFFFF"/>
            <w:hideMark/>
          </w:tcPr>
          <w:p w14:paraId="2587D2FF" w14:textId="218D0C21" w:rsidR="00426F4B" w:rsidRPr="00CA34F5" w:rsidRDefault="00426F4B" w:rsidP="000A4C31">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Secretario de Finanzas</w:t>
            </w:r>
          </w:p>
        </w:tc>
        <w:tc>
          <w:tcPr>
            <w:tcW w:w="425" w:type="dxa"/>
            <w:tcBorders>
              <w:top w:val="nil"/>
              <w:left w:val="nil"/>
              <w:bottom w:val="nil"/>
              <w:right w:val="nil"/>
            </w:tcBorders>
            <w:shd w:val="clear" w:color="000000" w:fill="FFFFFF"/>
            <w:hideMark/>
          </w:tcPr>
          <w:p w14:paraId="66B6566D" w14:textId="77777777" w:rsidR="00426F4B" w:rsidRPr="00CA34F5" w:rsidRDefault="00426F4B"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3568" w:type="dxa"/>
            <w:tcBorders>
              <w:top w:val="nil"/>
              <w:left w:val="nil"/>
              <w:bottom w:val="nil"/>
              <w:right w:val="nil"/>
            </w:tcBorders>
            <w:shd w:val="clear" w:color="000000" w:fill="FFFFFF"/>
            <w:hideMark/>
          </w:tcPr>
          <w:p w14:paraId="7C1E92F9" w14:textId="77777777" w:rsidR="00426F4B" w:rsidRPr="00CA34F5" w:rsidRDefault="00426F4B" w:rsidP="000A4C31">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Subsecretario de Ingresos</w:t>
            </w:r>
          </w:p>
        </w:tc>
        <w:tc>
          <w:tcPr>
            <w:tcW w:w="401" w:type="dxa"/>
            <w:tcBorders>
              <w:top w:val="nil"/>
              <w:left w:val="nil"/>
              <w:bottom w:val="nil"/>
              <w:right w:val="nil"/>
            </w:tcBorders>
            <w:shd w:val="clear" w:color="000000" w:fill="FFFFFF"/>
            <w:hideMark/>
          </w:tcPr>
          <w:p w14:paraId="3BF95291" w14:textId="77777777" w:rsidR="00426F4B" w:rsidRPr="00CA34F5" w:rsidRDefault="00426F4B"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2928" w:type="dxa"/>
            <w:tcBorders>
              <w:top w:val="nil"/>
              <w:left w:val="nil"/>
              <w:bottom w:val="nil"/>
              <w:right w:val="nil"/>
            </w:tcBorders>
            <w:shd w:val="clear" w:color="000000" w:fill="FFFFFF"/>
            <w:hideMark/>
          </w:tcPr>
          <w:p w14:paraId="66E1651B" w14:textId="77777777" w:rsidR="00426F4B" w:rsidRPr="00CA34F5" w:rsidRDefault="00426F4B" w:rsidP="000A4C31">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Subsecretario de Egresos</w:t>
            </w:r>
          </w:p>
        </w:tc>
        <w:tc>
          <w:tcPr>
            <w:tcW w:w="333" w:type="dxa"/>
            <w:tcBorders>
              <w:top w:val="nil"/>
              <w:left w:val="nil"/>
              <w:bottom w:val="nil"/>
              <w:right w:val="nil"/>
            </w:tcBorders>
            <w:shd w:val="clear" w:color="000000" w:fill="FFFFFF"/>
            <w:hideMark/>
          </w:tcPr>
          <w:p w14:paraId="6FF0B43E" w14:textId="77777777" w:rsidR="00426F4B" w:rsidRPr="00CA34F5" w:rsidRDefault="00426F4B" w:rsidP="000A4C31">
            <w:pPr>
              <w:spacing w:after="0" w:line="240" w:lineRule="auto"/>
              <w:jc w:val="left"/>
              <w:rPr>
                <w:rFonts w:ascii="Arial" w:eastAsia="Times New Roman" w:hAnsi="Arial" w:cs="Arial"/>
                <w:color w:val="000000"/>
                <w:lang w:eastAsia="es-MX"/>
              </w:rPr>
            </w:pPr>
            <w:r w:rsidRPr="00CA34F5">
              <w:rPr>
                <w:rFonts w:ascii="Arial" w:eastAsia="Times New Roman" w:hAnsi="Arial" w:cs="Arial"/>
                <w:color w:val="000000"/>
                <w:lang w:eastAsia="es-MX"/>
              </w:rPr>
              <w:t> </w:t>
            </w:r>
          </w:p>
        </w:tc>
        <w:tc>
          <w:tcPr>
            <w:tcW w:w="2765" w:type="dxa"/>
            <w:gridSpan w:val="3"/>
            <w:tcBorders>
              <w:top w:val="nil"/>
              <w:left w:val="nil"/>
              <w:bottom w:val="nil"/>
              <w:right w:val="nil"/>
            </w:tcBorders>
            <w:shd w:val="clear" w:color="000000" w:fill="FFFFFF"/>
            <w:hideMark/>
          </w:tcPr>
          <w:p w14:paraId="003F9CE6" w14:textId="77777777" w:rsidR="00426F4B" w:rsidRPr="00CA34F5" w:rsidRDefault="00426F4B" w:rsidP="000A4C31">
            <w:pPr>
              <w:spacing w:after="0" w:line="240" w:lineRule="auto"/>
              <w:rPr>
                <w:rFonts w:ascii="Arial" w:eastAsia="Times New Roman" w:hAnsi="Arial" w:cs="Arial"/>
                <w:b/>
                <w:bCs/>
                <w:color w:val="000000"/>
                <w:lang w:eastAsia="es-MX"/>
              </w:rPr>
            </w:pPr>
            <w:r w:rsidRPr="00CA34F5">
              <w:rPr>
                <w:rFonts w:ascii="Arial" w:eastAsia="Times New Roman" w:hAnsi="Arial" w:cs="Arial"/>
                <w:b/>
                <w:bCs/>
                <w:color w:val="000000"/>
                <w:lang w:eastAsia="es-MX"/>
              </w:rPr>
              <w:t>Director de Contabilidad Gubernamental</w:t>
            </w:r>
          </w:p>
        </w:tc>
      </w:tr>
    </w:tbl>
    <w:p w14:paraId="2262442C" w14:textId="207B9440" w:rsidR="00C50C69" w:rsidRPr="00CA34F5" w:rsidRDefault="006F4618" w:rsidP="000A4C31">
      <w:pPr>
        <w:spacing w:after="0" w:line="240" w:lineRule="auto"/>
        <w:jc w:val="both"/>
        <w:rPr>
          <w:rFonts w:ascii="Arial" w:eastAsia="DIN Next LT Pro" w:hAnsi="Arial" w:cs="Arial"/>
          <w:b/>
        </w:rPr>
      </w:pPr>
      <w:r w:rsidRPr="00CA34F5">
        <w:rPr>
          <w:rFonts w:ascii="Arial" w:eastAsia="DIN Next LT Pro" w:hAnsi="Arial" w:cs="Arial"/>
          <w:b/>
        </w:rPr>
        <w:t>Bajo protesta de decir verdad declaramos que los Estados Financieros y sus Notas son razonablemente</w:t>
      </w:r>
      <w:r w:rsidR="00F830F8" w:rsidRPr="00CA34F5">
        <w:rPr>
          <w:rFonts w:ascii="Arial" w:eastAsia="DIN Next LT Pro" w:hAnsi="Arial" w:cs="Arial"/>
          <w:b/>
        </w:rPr>
        <w:t xml:space="preserve"> </w:t>
      </w:r>
      <w:r w:rsidRPr="00CA34F5">
        <w:rPr>
          <w:rFonts w:ascii="Arial" w:eastAsia="DIN Next LT Pro" w:hAnsi="Arial" w:cs="Arial"/>
          <w:b/>
        </w:rPr>
        <w:t>correctos y son responsabilidad del emisor.</w:t>
      </w:r>
    </w:p>
    <w:sectPr w:rsidR="00C50C69" w:rsidRPr="00CA34F5" w:rsidSect="00D13C8D">
      <w:headerReference w:type="default" r:id="rId8"/>
      <w:footerReference w:type="default" r:id="rId9"/>
      <w:pgSz w:w="15840" w:h="12240" w:orient="landscape" w:code="1"/>
      <w:pgMar w:top="1135" w:right="1304" w:bottom="170" w:left="1843" w:header="709" w:footer="3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AEC31" w14:textId="77777777" w:rsidR="0054039C" w:rsidRDefault="0054039C" w:rsidP="00980BCE">
      <w:pPr>
        <w:spacing w:after="0" w:line="240" w:lineRule="auto"/>
      </w:pPr>
      <w:r>
        <w:separator/>
      </w:r>
    </w:p>
  </w:endnote>
  <w:endnote w:type="continuationSeparator" w:id="0">
    <w:p w14:paraId="5EC700D6" w14:textId="77777777" w:rsidR="0054039C" w:rsidRDefault="0054039C" w:rsidP="0098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DIN Next LT Pro">
    <w:altName w:val="Segoe Script"/>
    <w:panose1 w:val="020B0503020203050203"/>
    <w:charset w:val="00"/>
    <w:family w:val="swiss"/>
    <w:pitch w:val="variable"/>
    <w:sig w:usb0="A00000AF" w:usb1="5000205B" w:usb2="00000000" w:usb3="00000000" w:csb0="0000009B" w:csb1="00000000"/>
  </w:font>
  <w:font w:name="DIN Next LT Pro Condensed">
    <w:panose1 w:val="020B0506020203050203"/>
    <w:charset w:val="00"/>
    <w:family w:val="swiss"/>
    <w:pitch w:val="variable"/>
    <w:sig w:usb0="A00000AF" w:usb1="5000205B" w:usb2="00000000" w:usb3="00000000" w:csb0="0000009B"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62E3" w14:textId="65BBBDCC" w:rsidR="007074E7" w:rsidRPr="00DD3043" w:rsidRDefault="007074E7">
    <w:pPr>
      <w:pStyle w:val="Piedepgina"/>
      <w:rPr>
        <w:rFonts w:ascii="Agency FB" w:hAnsi="Agency FB"/>
      </w:rPr>
    </w:pPr>
    <w:r w:rsidRPr="00DD3043">
      <w:rPr>
        <w:noProof/>
        <w:sz w:val="20"/>
        <w:lang w:eastAsia="es-MX"/>
      </w:rPr>
      <mc:AlternateContent>
        <mc:Choice Requires="wps">
          <w:drawing>
            <wp:anchor distT="0" distB="0" distL="114300" distR="114300" simplePos="0" relativeHeight="251660288" behindDoc="0" locked="0" layoutInCell="1" allowOverlap="1" wp14:anchorId="6363D249" wp14:editId="2201A826">
              <wp:simplePos x="0" y="0"/>
              <wp:positionH relativeFrom="column">
                <wp:posOffset>-494030</wp:posOffset>
              </wp:positionH>
              <wp:positionV relativeFrom="paragraph">
                <wp:posOffset>4445</wp:posOffset>
              </wp:positionV>
              <wp:extent cx="9001496" cy="0"/>
              <wp:effectExtent l="0" t="0" r="28575" b="19050"/>
              <wp:wrapNone/>
              <wp:docPr id="6" name="16 Conector recto"/>
              <wp:cNvGraphicFramePr/>
              <a:graphic xmlns:a="http://schemas.openxmlformats.org/drawingml/2006/main">
                <a:graphicData uri="http://schemas.microsoft.com/office/word/2010/wordprocessingShape">
                  <wps:wsp>
                    <wps:cNvCnPr/>
                    <wps:spPr>
                      <a:xfrm>
                        <a:off x="0" y="0"/>
                        <a:ext cx="900149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78061" id="16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pt,.35pt" to="66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" strokecolor="black [3213]" strokeweight="1pt"/>
          </w:pict>
        </mc:Fallback>
      </mc:AlternateContent>
    </w:r>
    <w:r w:rsidRPr="00DD3043">
      <w:rPr>
        <w:rFonts w:ascii="Agency FB" w:hAnsi="Agency FB"/>
        <w:sz w:val="20"/>
      </w:rPr>
      <w:t>CONTABLE</w:t>
    </w:r>
  </w:p>
  <w:p w14:paraId="42FE56F7" w14:textId="20D6A66F" w:rsidR="007074E7" w:rsidRPr="0072082B" w:rsidRDefault="007074E7" w:rsidP="00C9456A">
    <w:pPr>
      <w:pStyle w:val="Piedepgina"/>
      <w:tabs>
        <w:tab w:val="left" w:pos="1052"/>
        <w:tab w:val="left" w:pos="5059"/>
        <w:tab w:val="center" w:pos="6616"/>
      </w:tabs>
      <w:rPr>
        <w:rFonts w:ascii="DIN Next LT Pro" w:hAnsi="DIN Next LT Pro"/>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694C9" w14:textId="77777777" w:rsidR="0054039C" w:rsidRDefault="0054039C" w:rsidP="00980BCE">
      <w:pPr>
        <w:spacing w:after="0" w:line="240" w:lineRule="auto"/>
      </w:pPr>
      <w:r>
        <w:separator/>
      </w:r>
    </w:p>
  </w:footnote>
  <w:footnote w:type="continuationSeparator" w:id="0">
    <w:p w14:paraId="0BBB52A4" w14:textId="77777777" w:rsidR="0054039C" w:rsidRDefault="0054039C" w:rsidP="00980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F99E6" w14:textId="1E0EB76D" w:rsidR="007074E7" w:rsidRPr="00483AF3" w:rsidRDefault="007074E7" w:rsidP="00A37A56">
    <w:pPr>
      <w:pStyle w:val="Encabezado"/>
      <w:rPr>
        <w:lang w:eastAsia="es-MX"/>
      </w:rPr>
    </w:pPr>
    <w:r>
      <w:rPr>
        <w:noProof/>
        <w:lang w:eastAsia="es-MX"/>
      </w:rPr>
      <w:drawing>
        <wp:anchor distT="0" distB="0" distL="114300" distR="114300" simplePos="0" relativeHeight="251661312" behindDoc="1" locked="0" layoutInCell="1" allowOverlap="1" wp14:anchorId="65DC378F" wp14:editId="7940D21E">
          <wp:simplePos x="0" y="0"/>
          <wp:positionH relativeFrom="margin">
            <wp:posOffset>7449820</wp:posOffset>
          </wp:positionH>
          <wp:positionV relativeFrom="paragraph">
            <wp:posOffset>-316865</wp:posOffset>
          </wp:positionV>
          <wp:extent cx="1077407" cy="467360"/>
          <wp:effectExtent l="0" t="0" r="8890" b="8890"/>
          <wp:wrapThrough wrapText="bothSides">
            <wp:wrapPolygon edited="0">
              <wp:start x="0" y="0"/>
              <wp:lineTo x="0" y="21130"/>
              <wp:lineTo x="21396" y="21130"/>
              <wp:lineTo x="2139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A-PUB-2021.jpg"/>
                  <pic:cNvPicPr/>
                </pic:nvPicPr>
                <pic:blipFill>
                  <a:blip r:embed="rId1">
                    <a:extLst>
                      <a:ext uri="{28A0092B-C50C-407E-A947-70E740481C1C}">
                        <a14:useLocalDpi xmlns:a14="http://schemas.microsoft.com/office/drawing/2010/main" val="0"/>
                      </a:ext>
                    </a:extLst>
                  </a:blip>
                  <a:stretch>
                    <a:fillRect/>
                  </a:stretch>
                </pic:blipFill>
                <pic:spPr>
                  <a:xfrm>
                    <a:off x="0" y="0"/>
                    <a:ext cx="1077407" cy="467360"/>
                  </a:xfrm>
                  <a:prstGeom prst="rect">
                    <a:avLst/>
                  </a:prstGeom>
                </pic:spPr>
              </pic:pic>
            </a:graphicData>
          </a:graphic>
          <wp14:sizeRelH relativeFrom="margin">
            <wp14:pctWidth>0</wp14:pctWidth>
          </wp14:sizeRelH>
          <wp14:sizeRelV relativeFrom="margin">
            <wp14:pctHeight>0</wp14:pctHeight>
          </wp14:sizeRelV>
        </wp:anchor>
      </w:drawing>
    </w:r>
    <w:r w:rsidRPr="00483AF3">
      <w:rPr>
        <w:noProof/>
        <w:lang w:eastAsia="es-MX"/>
      </w:rPr>
      <mc:AlternateContent>
        <mc:Choice Requires="wps">
          <w:drawing>
            <wp:anchor distT="0" distB="0" distL="114300" distR="114300" simplePos="0" relativeHeight="251626496" behindDoc="0" locked="0" layoutInCell="1" allowOverlap="1" wp14:anchorId="09BE651E" wp14:editId="2D881BB1">
              <wp:simplePos x="0" y="0"/>
              <wp:positionH relativeFrom="column">
                <wp:posOffset>624039</wp:posOffset>
              </wp:positionH>
              <wp:positionV relativeFrom="paragraph">
                <wp:posOffset>-270344</wp:posOffset>
              </wp:positionV>
              <wp:extent cx="7283450" cy="434975"/>
              <wp:effectExtent l="0" t="0" r="0" b="3175"/>
              <wp:wrapNone/>
              <wp:docPr id="15" name="15 Cuadro de texto"/>
              <wp:cNvGraphicFramePr/>
              <a:graphic xmlns:a="http://schemas.openxmlformats.org/drawingml/2006/main">
                <a:graphicData uri="http://schemas.microsoft.com/office/word/2010/wordprocessingShape">
                  <wps:wsp>
                    <wps:cNvSpPr txBox="1"/>
                    <wps:spPr>
                      <a:xfrm>
                        <a:off x="0" y="0"/>
                        <a:ext cx="7283450" cy="43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10F228" w14:textId="3BEE47B9" w:rsidR="007074E7" w:rsidRPr="00616E63" w:rsidRDefault="007074E7" w:rsidP="00A37A56">
                          <w:pPr>
                            <w:spacing w:after="0"/>
                            <w:rPr>
                              <w:rFonts w:ascii="DIN Next LT Pro Condensed" w:hAnsi="DIN Next LT Pro Condensed"/>
                              <w:sz w:val="24"/>
                              <w:szCs w:val="24"/>
                              <w:lang w:val="es-ES"/>
                            </w:rPr>
                          </w:pPr>
                          <w:r>
                            <w:rPr>
                              <w:rFonts w:ascii="DIN Next LT Pro Condensed" w:hAnsi="DIN Next LT Pro Condensed"/>
                              <w:sz w:val="24"/>
                              <w:szCs w:val="24"/>
                              <w:lang w:val="es-ES"/>
                            </w:rPr>
                            <w:t>PODER EJECUTIVO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E651E" id="_x0000_t202" coordsize="21600,21600" o:spt="202" path="m,l,21600r21600,l21600,xe">
              <v:stroke joinstyle="miter"/>
              <v:path gradientshapeok="t" o:connecttype="rect"/>
            </v:shapetype>
            <v:shape id="15 Cuadro de texto" o:spid="_x0000_s1026" type="#_x0000_t202" style="position:absolute;left:0;text-align:left;margin-left:49.15pt;margin-top:-21.3pt;width:573.5pt;height:3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" fillcolor="white [3201]" stroked="f" strokeweight=".5pt">
              <v:textbox>
                <w:txbxContent>
                  <w:p w14:paraId="2D10F228" w14:textId="3BEE47B9" w:rsidR="00BF1405" w:rsidRPr="00616E63" w:rsidRDefault="00BF1405" w:rsidP="00A37A56">
                    <w:pPr>
                      <w:spacing w:after="0"/>
                      <w:rPr>
                        <w:rFonts w:ascii="DIN Next LT Pro Condensed" w:hAnsi="DIN Next LT Pro Condensed"/>
                        <w:sz w:val="24"/>
                        <w:szCs w:val="24"/>
                        <w:lang w:val="es-ES"/>
                      </w:rPr>
                    </w:pPr>
                    <w:r>
                      <w:rPr>
                        <w:rFonts w:ascii="DIN Next LT Pro Condensed" w:hAnsi="DIN Next LT Pro Condensed"/>
                        <w:sz w:val="24"/>
                        <w:szCs w:val="24"/>
                        <w:lang w:val="es-ES"/>
                      </w:rPr>
                      <w:t>PODER EJECUTIVO</w:t>
                    </w:r>
                  </w:p>
                </w:txbxContent>
              </v:textbox>
            </v:shape>
          </w:pict>
        </mc:Fallback>
      </mc:AlternateContent>
    </w:r>
    <w:r w:rsidRPr="00483AF3">
      <w:rPr>
        <w:noProof/>
        <w:lang w:eastAsia="es-MX"/>
      </w:rPr>
      <mc:AlternateContent>
        <mc:Choice Requires="wps">
          <w:drawing>
            <wp:anchor distT="0" distB="0" distL="114300" distR="114300" simplePos="0" relativeHeight="251629568" behindDoc="0" locked="0" layoutInCell="1" allowOverlap="1" wp14:anchorId="6E5D0269" wp14:editId="499F99F3">
              <wp:simplePos x="0" y="0"/>
              <wp:positionH relativeFrom="column">
                <wp:posOffset>-626159</wp:posOffset>
              </wp:positionH>
              <wp:positionV relativeFrom="paragraph">
                <wp:posOffset>191053</wp:posOffset>
              </wp:positionV>
              <wp:extent cx="9001496" cy="0"/>
              <wp:effectExtent l="0" t="0" r="28575" b="19050"/>
              <wp:wrapNone/>
              <wp:docPr id="16" name="16 Conector recto"/>
              <wp:cNvGraphicFramePr/>
              <a:graphic xmlns:a="http://schemas.openxmlformats.org/drawingml/2006/main">
                <a:graphicData uri="http://schemas.microsoft.com/office/word/2010/wordprocessingShape">
                  <wps:wsp>
                    <wps:cNvCnPr/>
                    <wps:spPr>
                      <a:xfrm>
                        <a:off x="0" y="0"/>
                        <a:ext cx="900149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7956D" id="16 Conector recto"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5.05pt" to="65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" strokecolor="black [3213]" strokeweight="1pt"/>
          </w:pict>
        </mc:Fallback>
      </mc:AlternateContent>
    </w:r>
  </w:p>
  <w:p w14:paraId="554FD78F" w14:textId="4869CDF3" w:rsidR="007074E7" w:rsidRDefault="007074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2B6"/>
    <w:multiLevelType w:val="hybridMultilevel"/>
    <w:tmpl w:val="719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2010A0"/>
    <w:multiLevelType w:val="hybridMultilevel"/>
    <w:tmpl w:val="F760A7F4"/>
    <w:lvl w:ilvl="0" w:tplc="080A0013">
      <w:start w:val="1"/>
      <w:numFmt w:val="upperRoman"/>
      <w:lvlText w:val="%1."/>
      <w:lvlJc w:val="right"/>
      <w:pPr>
        <w:ind w:left="217" w:hanging="360"/>
      </w:pPr>
    </w:lvl>
    <w:lvl w:ilvl="1" w:tplc="080A0019">
      <w:start w:val="1"/>
      <w:numFmt w:val="lowerLetter"/>
      <w:lvlText w:val="%2."/>
      <w:lvlJc w:val="left"/>
      <w:pPr>
        <w:ind w:left="937" w:hanging="360"/>
      </w:pPr>
    </w:lvl>
    <w:lvl w:ilvl="2" w:tplc="080A001B" w:tentative="1">
      <w:start w:val="1"/>
      <w:numFmt w:val="lowerRoman"/>
      <w:lvlText w:val="%3."/>
      <w:lvlJc w:val="right"/>
      <w:pPr>
        <w:ind w:left="1657" w:hanging="180"/>
      </w:pPr>
    </w:lvl>
    <w:lvl w:ilvl="3" w:tplc="080A000F" w:tentative="1">
      <w:start w:val="1"/>
      <w:numFmt w:val="decimal"/>
      <w:lvlText w:val="%4."/>
      <w:lvlJc w:val="left"/>
      <w:pPr>
        <w:ind w:left="2377" w:hanging="360"/>
      </w:pPr>
    </w:lvl>
    <w:lvl w:ilvl="4" w:tplc="080A0019" w:tentative="1">
      <w:start w:val="1"/>
      <w:numFmt w:val="lowerLetter"/>
      <w:lvlText w:val="%5."/>
      <w:lvlJc w:val="left"/>
      <w:pPr>
        <w:ind w:left="3097" w:hanging="360"/>
      </w:pPr>
    </w:lvl>
    <w:lvl w:ilvl="5" w:tplc="080A001B" w:tentative="1">
      <w:start w:val="1"/>
      <w:numFmt w:val="lowerRoman"/>
      <w:lvlText w:val="%6."/>
      <w:lvlJc w:val="right"/>
      <w:pPr>
        <w:ind w:left="3817" w:hanging="180"/>
      </w:pPr>
    </w:lvl>
    <w:lvl w:ilvl="6" w:tplc="080A000F" w:tentative="1">
      <w:start w:val="1"/>
      <w:numFmt w:val="decimal"/>
      <w:lvlText w:val="%7."/>
      <w:lvlJc w:val="left"/>
      <w:pPr>
        <w:ind w:left="4537" w:hanging="360"/>
      </w:pPr>
    </w:lvl>
    <w:lvl w:ilvl="7" w:tplc="080A0019" w:tentative="1">
      <w:start w:val="1"/>
      <w:numFmt w:val="lowerLetter"/>
      <w:lvlText w:val="%8."/>
      <w:lvlJc w:val="left"/>
      <w:pPr>
        <w:ind w:left="5257" w:hanging="360"/>
      </w:pPr>
    </w:lvl>
    <w:lvl w:ilvl="8" w:tplc="080A001B" w:tentative="1">
      <w:start w:val="1"/>
      <w:numFmt w:val="lowerRoman"/>
      <w:lvlText w:val="%9."/>
      <w:lvlJc w:val="right"/>
      <w:pPr>
        <w:ind w:left="5977" w:hanging="180"/>
      </w:pPr>
    </w:lvl>
  </w:abstractNum>
  <w:abstractNum w:abstractNumId="2" w15:restartNumberingAfterBreak="0">
    <w:nsid w:val="17107FB9"/>
    <w:multiLevelType w:val="multilevel"/>
    <w:tmpl w:val="316E96B4"/>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5920A33"/>
    <w:multiLevelType w:val="hybridMultilevel"/>
    <w:tmpl w:val="5EFA1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266785"/>
    <w:multiLevelType w:val="hybridMultilevel"/>
    <w:tmpl w:val="45B6E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13366E"/>
    <w:multiLevelType w:val="multilevel"/>
    <w:tmpl w:val="7DBC310A"/>
    <w:lvl w:ilvl="0">
      <w:start w:val="1"/>
      <w:numFmt w:val="lowerLetter"/>
      <w:lvlText w:val="%1."/>
      <w:lvlJc w:val="left"/>
      <w:pPr>
        <w:tabs>
          <w:tab w:val="num" w:pos="720"/>
        </w:tabs>
        <w:ind w:left="720" w:hanging="360"/>
      </w:pPr>
    </w:lvl>
    <w:lvl w:ilvl="1">
      <w:start w:val="19"/>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1136CA3"/>
    <w:multiLevelType w:val="multilevel"/>
    <w:tmpl w:val="D0A6314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2CD263A"/>
    <w:multiLevelType w:val="hybridMultilevel"/>
    <w:tmpl w:val="B7548A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6A1729"/>
    <w:multiLevelType w:val="hybridMultilevel"/>
    <w:tmpl w:val="F766B3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8C633C"/>
    <w:multiLevelType w:val="multilevel"/>
    <w:tmpl w:val="0340E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A2568D6"/>
    <w:multiLevelType w:val="hybridMultilevel"/>
    <w:tmpl w:val="316A25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457FD5"/>
    <w:multiLevelType w:val="multilevel"/>
    <w:tmpl w:val="C0783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CE0263F"/>
    <w:multiLevelType w:val="multilevel"/>
    <w:tmpl w:val="D2383B2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50D34E6"/>
    <w:multiLevelType w:val="hybridMultilevel"/>
    <w:tmpl w:val="3E3C0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E51464"/>
    <w:multiLevelType w:val="multilevel"/>
    <w:tmpl w:val="4A0651B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89410C1"/>
    <w:multiLevelType w:val="hybridMultilevel"/>
    <w:tmpl w:val="D1787B7C"/>
    <w:lvl w:ilvl="0" w:tplc="080A0017">
      <w:start w:val="1"/>
      <w:numFmt w:val="lowerLetter"/>
      <w:lvlText w:val="%1)"/>
      <w:lvlJc w:val="left"/>
      <w:pPr>
        <w:ind w:left="833" w:hanging="360"/>
      </w:pPr>
      <w:rPr>
        <w:rFonts w:hint="default"/>
        <w:b/>
        <w:sz w:val="22"/>
        <w:szCs w:val="16"/>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6" w15:restartNumberingAfterBreak="0">
    <w:nsid w:val="4EF02302"/>
    <w:multiLevelType w:val="hybridMultilevel"/>
    <w:tmpl w:val="AEFC743A"/>
    <w:lvl w:ilvl="0" w:tplc="600C1C7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B0492C"/>
    <w:multiLevelType w:val="multilevel"/>
    <w:tmpl w:val="A2566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4FE6639"/>
    <w:multiLevelType w:val="multilevel"/>
    <w:tmpl w:val="C0783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DAB20E1"/>
    <w:multiLevelType w:val="multilevel"/>
    <w:tmpl w:val="26EA5C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FE35363"/>
    <w:multiLevelType w:val="multilevel"/>
    <w:tmpl w:val="26E815DC"/>
    <w:lvl w:ilvl="0">
      <w:start w:val="2"/>
      <w:numFmt w:val="lowerLetter"/>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34E7B18"/>
    <w:multiLevelType w:val="multilevel"/>
    <w:tmpl w:val="1F88F2A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5CE54D7"/>
    <w:multiLevelType w:val="multilevel"/>
    <w:tmpl w:val="7DC211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cs="Arial" w:hint="default"/>
      </w:rPr>
    </w:lvl>
    <w:lvl w:ilvl="2">
      <w:start w:val="1"/>
      <w:numFmt w:val="decimal"/>
      <w:isLgl/>
      <w:lvlText w:val="%1.%2.%3"/>
      <w:lvlJc w:val="left"/>
      <w:pPr>
        <w:ind w:left="1080" w:hanging="720"/>
      </w:pPr>
      <w:rPr>
        <w:rFonts w:eastAsia="Times New Roman" w:cs="Arial" w:hint="default"/>
      </w:rPr>
    </w:lvl>
    <w:lvl w:ilvl="3">
      <w:start w:val="1"/>
      <w:numFmt w:val="decimal"/>
      <w:isLgl/>
      <w:lvlText w:val="%1.%2.%3.%4"/>
      <w:lvlJc w:val="left"/>
      <w:pPr>
        <w:ind w:left="1440" w:hanging="1080"/>
      </w:pPr>
      <w:rPr>
        <w:rFonts w:eastAsia="Times New Roman" w:cs="Arial" w:hint="default"/>
      </w:rPr>
    </w:lvl>
    <w:lvl w:ilvl="4">
      <w:start w:val="1"/>
      <w:numFmt w:val="decimal"/>
      <w:isLgl/>
      <w:lvlText w:val="%1.%2.%3.%4.%5"/>
      <w:lvlJc w:val="left"/>
      <w:pPr>
        <w:ind w:left="1440" w:hanging="1080"/>
      </w:pPr>
      <w:rPr>
        <w:rFonts w:eastAsia="Times New Roman" w:cs="Arial" w:hint="default"/>
      </w:rPr>
    </w:lvl>
    <w:lvl w:ilvl="5">
      <w:start w:val="1"/>
      <w:numFmt w:val="decimal"/>
      <w:isLgl/>
      <w:lvlText w:val="%1.%2.%3.%4.%5.%6"/>
      <w:lvlJc w:val="left"/>
      <w:pPr>
        <w:ind w:left="1800" w:hanging="1440"/>
      </w:pPr>
      <w:rPr>
        <w:rFonts w:eastAsia="Times New Roman" w:cs="Arial" w:hint="default"/>
      </w:rPr>
    </w:lvl>
    <w:lvl w:ilvl="6">
      <w:start w:val="1"/>
      <w:numFmt w:val="decimal"/>
      <w:isLgl/>
      <w:lvlText w:val="%1.%2.%3.%4.%5.%6.%7"/>
      <w:lvlJc w:val="left"/>
      <w:pPr>
        <w:ind w:left="1800" w:hanging="1440"/>
      </w:pPr>
      <w:rPr>
        <w:rFonts w:eastAsia="Times New Roman" w:cs="Arial" w:hint="default"/>
      </w:rPr>
    </w:lvl>
    <w:lvl w:ilvl="7">
      <w:start w:val="1"/>
      <w:numFmt w:val="decimal"/>
      <w:isLgl/>
      <w:lvlText w:val="%1.%2.%3.%4.%5.%6.%7.%8"/>
      <w:lvlJc w:val="left"/>
      <w:pPr>
        <w:ind w:left="2160" w:hanging="1800"/>
      </w:pPr>
      <w:rPr>
        <w:rFonts w:eastAsia="Times New Roman" w:cs="Arial" w:hint="default"/>
      </w:rPr>
    </w:lvl>
    <w:lvl w:ilvl="8">
      <w:start w:val="1"/>
      <w:numFmt w:val="decimal"/>
      <w:isLgl/>
      <w:lvlText w:val="%1.%2.%3.%4.%5.%6.%7.%8.%9"/>
      <w:lvlJc w:val="left"/>
      <w:pPr>
        <w:ind w:left="2160" w:hanging="1800"/>
      </w:pPr>
      <w:rPr>
        <w:rFonts w:eastAsia="Times New Roman" w:cs="Arial" w:hint="default"/>
      </w:rPr>
    </w:lvl>
  </w:abstractNum>
  <w:abstractNum w:abstractNumId="23" w15:restartNumberingAfterBreak="0">
    <w:nsid w:val="6800261C"/>
    <w:multiLevelType w:val="hybridMultilevel"/>
    <w:tmpl w:val="19461A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282910"/>
    <w:multiLevelType w:val="multilevel"/>
    <w:tmpl w:val="F0D4B7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DDF520E"/>
    <w:multiLevelType w:val="multilevel"/>
    <w:tmpl w:val="4AE235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6FB544D"/>
    <w:multiLevelType w:val="hybridMultilevel"/>
    <w:tmpl w:val="F4620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E17D17"/>
    <w:multiLevelType w:val="hybridMultilevel"/>
    <w:tmpl w:val="3866F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A696FAF"/>
    <w:multiLevelType w:val="multilevel"/>
    <w:tmpl w:val="D1845CD0"/>
    <w:lvl w:ilvl="0">
      <w:start w:val="6"/>
      <w:numFmt w:val="decimal"/>
      <w:lvlText w:val="%1."/>
      <w:lvlJc w:val="left"/>
      <w:pPr>
        <w:ind w:left="786"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E294D13"/>
    <w:multiLevelType w:val="hybridMultilevel"/>
    <w:tmpl w:val="FD1A6CCC"/>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AE0A13"/>
    <w:multiLevelType w:val="hybridMultilevel"/>
    <w:tmpl w:val="6F929B6C"/>
    <w:lvl w:ilvl="0" w:tplc="D0F29542">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20"/>
  </w:num>
  <w:num w:numId="3">
    <w:abstractNumId w:val="12"/>
  </w:num>
  <w:num w:numId="4">
    <w:abstractNumId w:val="6"/>
  </w:num>
  <w:num w:numId="5">
    <w:abstractNumId w:val="21"/>
  </w:num>
  <w:num w:numId="6">
    <w:abstractNumId w:val="14"/>
  </w:num>
  <w:num w:numId="7">
    <w:abstractNumId w:val="24"/>
  </w:num>
  <w:num w:numId="8">
    <w:abstractNumId w:val="9"/>
  </w:num>
  <w:num w:numId="9">
    <w:abstractNumId w:val="25"/>
  </w:num>
  <w:num w:numId="10">
    <w:abstractNumId w:val="5"/>
  </w:num>
  <w:num w:numId="11">
    <w:abstractNumId w:val="1"/>
  </w:num>
  <w:num w:numId="12">
    <w:abstractNumId w:val="30"/>
  </w:num>
  <w:num w:numId="13">
    <w:abstractNumId w:val="10"/>
  </w:num>
  <w:num w:numId="14">
    <w:abstractNumId w:val="15"/>
  </w:num>
  <w:num w:numId="15">
    <w:abstractNumId w:val="22"/>
  </w:num>
  <w:num w:numId="16">
    <w:abstractNumId w:val="26"/>
  </w:num>
  <w:num w:numId="17">
    <w:abstractNumId w:val="27"/>
  </w:num>
  <w:num w:numId="18">
    <w:abstractNumId w:val="29"/>
  </w:num>
  <w:num w:numId="19">
    <w:abstractNumId w:val="16"/>
  </w:num>
  <w:num w:numId="20">
    <w:abstractNumId w:val="0"/>
  </w:num>
  <w:num w:numId="21">
    <w:abstractNumId w:val="23"/>
  </w:num>
  <w:num w:numId="22">
    <w:abstractNumId w:val="17"/>
  </w:num>
  <w:num w:numId="23">
    <w:abstractNumId w:val="18"/>
  </w:num>
  <w:num w:numId="24">
    <w:abstractNumId w:val="28"/>
  </w:num>
  <w:num w:numId="25">
    <w:abstractNumId w:val="2"/>
  </w:num>
  <w:num w:numId="26">
    <w:abstractNumId w:val="3"/>
  </w:num>
  <w:num w:numId="27">
    <w:abstractNumId w:val="8"/>
  </w:num>
  <w:num w:numId="28">
    <w:abstractNumId w:val="4"/>
  </w:num>
  <w:num w:numId="29">
    <w:abstractNumId w:val="13"/>
  </w:num>
  <w:num w:numId="30">
    <w:abstractNumId w:val="7"/>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AC"/>
    <w:rsid w:val="0000019A"/>
    <w:rsid w:val="0000092D"/>
    <w:rsid w:val="000026C1"/>
    <w:rsid w:val="00002AF2"/>
    <w:rsid w:val="0000372E"/>
    <w:rsid w:val="000045F5"/>
    <w:rsid w:val="00005F47"/>
    <w:rsid w:val="00006535"/>
    <w:rsid w:val="00006F35"/>
    <w:rsid w:val="00007C33"/>
    <w:rsid w:val="0001054F"/>
    <w:rsid w:val="000112ED"/>
    <w:rsid w:val="00011500"/>
    <w:rsid w:val="00011E01"/>
    <w:rsid w:val="00012356"/>
    <w:rsid w:val="00012C8B"/>
    <w:rsid w:val="00015397"/>
    <w:rsid w:val="00015407"/>
    <w:rsid w:val="00016134"/>
    <w:rsid w:val="00017161"/>
    <w:rsid w:val="00017999"/>
    <w:rsid w:val="00020723"/>
    <w:rsid w:val="00020C75"/>
    <w:rsid w:val="00022858"/>
    <w:rsid w:val="00023FA2"/>
    <w:rsid w:val="00024057"/>
    <w:rsid w:val="00024C83"/>
    <w:rsid w:val="00025531"/>
    <w:rsid w:val="00025FC8"/>
    <w:rsid w:val="000273CE"/>
    <w:rsid w:val="0002751C"/>
    <w:rsid w:val="00027968"/>
    <w:rsid w:val="00027E7C"/>
    <w:rsid w:val="000306B0"/>
    <w:rsid w:val="000309A6"/>
    <w:rsid w:val="00030B3C"/>
    <w:rsid w:val="00030FF7"/>
    <w:rsid w:val="0003159A"/>
    <w:rsid w:val="00031734"/>
    <w:rsid w:val="00031AD9"/>
    <w:rsid w:val="00032D64"/>
    <w:rsid w:val="00033448"/>
    <w:rsid w:val="00033522"/>
    <w:rsid w:val="00035379"/>
    <w:rsid w:val="00035856"/>
    <w:rsid w:val="00035F65"/>
    <w:rsid w:val="0003627D"/>
    <w:rsid w:val="000368E2"/>
    <w:rsid w:val="000375F0"/>
    <w:rsid w:val="00037F17"/>
    <w:rsid w:val="00040A3D"/>
    <w:rsid w:val="00040AD1"/>
    <w:rsid w:val="000414C7"/>
    <w:rsid w:val="0004236E"/>
    <w:rsid w:val="00042F62"/>
    <w:rsid w:val="00043284"/>
    <w:rsid w:val="00043716"/>
    <w:rsid w:val="0004492F"/>
    <w:rsid w:val="00045173"/>
    <w:rsid w:val="0004517C"/>
    <w:rsid w:val="00045AA2"/>
    <w:rsid w:val="0004694A"/>
    <w:rsid w:val="000478E7"/>
    <w:rsid w:val="000527E8"/>
    <w:rsid w:val="0005325B"/>
    <w:rsid w:val="000537F0"/>
    <w:rsid w:val="00054207"/>
    <w:rsid w:val="00054DA7"/>
    <w:rsid w:val="000551D0"/>
    <w:rsid w:val="00055AAE"/>
    <w:rsid w:val="0005723B"/>
    <w:rsid w:val="000575C3"/>
    <w:rsid w:val="00057AC4"/>
    <w:rsid w:val="000618F8"/>
    <w:rsid w:val="00062680"/>
    <w:rsid w:val="0006277F"/>
    <w:rsid w:val="00064053"/>
    <w:rsid w:val="0006558B"/>
    <w:rsid w:val="00065749"/>
    <w:rsid w:val="00066078"/>
    <w:rsid w:val="0006646E"/>
    <w:rsid w:val="00066746"/>
    <w:rsid w:val="0007248B"/>
    <w:rsid w:val="0007268B"/>
    <w:rsid w:val="0007296F"/>
    <w:rsid w:val="00072B27"/>
    <w:rsid w:val="00074FCA"/>
    <w:rsid w:val="00075162"/>
    <w:rsid w:val="000754F4"/>
    <w:rsid w:val="000761D4"/>
    <w:rsid w:val="00076273"/>
    <w:rsid w:val="00077616"/>
    <w:rsid w:val="00077641"/>
    <w:rsid w:val="00077E85"/>
    <w:rsid w:val="000811A2"/>
    <w:rsid w:val="0008168B"/>
    <w:rsid w:val="00082A9F"/>
    <w:rsid w:val="00082CAE"/>
    <w:rsid w:val="00082ED1"/>
    <w:rsid w:val="00084099"/>
    <w:rsid w:val="00084784"/>
    <w:rsid w:val="00086837"/>
    <w:rsid w:val="00087000"/>
    <w:rsid w:val="0008702F"/>
    <w:rsid w:val="00087039"/>
    <w:rsid w:val="0008756A"/>
    <w:rsid w:val="00087891"/>
    <w:rsid w:val="000910CA"/>
    <w:rsid w:val="00091D8E"/>
    <w:rsid w:val="00092104"/>
    <w:rsid w:val="000921A0"/>
    <w:rsid w:val="0009249A"/>
    <w:rsid w:val="00092500"/>
    <w:rsid w:val="00092704"/>
    <w:rsid w:val="00094647"/>
    <w:rsid w:val="000957AA"/>
    <w:rsid w:val="000962D7"/>
    <w:rsid w:val="0009644E"/>
    <w:rsid w:val="00096F47"/>
    <w:rsid w:val="000A1390"/>
    <w:rsid w:val="000A2ACC"/>
    <w:rsid w:val="000A2F07"/>
    <w:rsid w:val="000A4873"/>
    <w:rsid w:val="000A4C31"/>
    <w:rsid w:val="000A4C44"/>
    <w:rsid w:val="000A6079"/>
    <w:rsid w:val="000A65C2"/>
    <w:rsid w:val="000A7333"/>
    <w:rsid w:val="000A7F58"/>
    <w:rsid w:val="000A7FF3"/>
    <w:rsid w:val="000B1452"/>
    <w:rsid w:val="000B14B5"/>
    <w:rsid w:val="000B25FF"/>
    <w:rsid w:val="000B2B3F"/>
    <w:rsid w:val="000B3A49"/>
    <w:rsid w:val="000B4541"/>
    <w:rsid w:val="000B4FFD"/>
    <w:rsid w:val="000B5773"/>
    <w:rsid w:val="000B6CF5"/>
    <w:rsid w:val="000B739E"/>
    <w:rsid w:val="000B73C4"/>
    <w:rsid w:val="000B7884"/>
    <w:rsid w:val="000B7B27"/>
    <w:rsid w:val="000C02E1"/>
    <w:rsid w:val="000C0F5C"/>
    <w:rsid w:val="000C1097"/>
    <w:rsid w:val="000C148C"/>
    <w:rsid w:val="000C1672"/>
    <w:rsid w:val="000C214A"/>
    <w:rsid w:val="000C23AD"/>
    <w:rsid w:val="000C247B"/>
    <w:rsid w:val="000C283A"/>
    <w:rsid w:val="000C2DF0"/>
    <w:rsid w:val="000C3402"/>
    <w:rsid w:val="000C3B53"/>
    <w:rsid w:val="000C512D"/>
    <w:rsid w:val="000C5CE8"/>
    <w:rsid w:val="000C6CD9"/>
    <w:rsid w:val="000D035F"/>
    <w:rsid w:val="000D1AE9"/>
    <w:rsid w:val="000D1BA7"/>
    <w:rsid w:val="000D25BD"/>
    <w:rsid w:val="000D2EAC"/>
    <w:rsid w:val="000D3CEE"/>
    <w:rsid w:val="000D46CF"/>
    <w:rsid w:val="000D4778"/>
    <w:rsid w:val="000D5C82"/>
    <w:rsid w:val="000D6889"/>
    <w:rsid w:val="000D7BFD"/>
    <w:rsid w:val="000E09A5"/>
    <w:rsid w:val="000E264A"/>
    <w:rsid w:val="000E3A74"/>
    <w:rsid w:val="000E3EF3"/>
    <w:rsid w:val="000E4605"/>
    <w:rsid w:val="000E50F1"/>
    <w:rsid w:val="000E5490"/>
    <w:rsid w:val="000E5930"/>
    <w:rsid w:val="000E5B8C"/>
    <w:rsid w:val="000E6375"/>
    <w:rsid w:val="000F0E05"/>
    <w:rsid w:val="000F0F84"/>
    <w:rsid w:val="000F18CF"/>
    <w:rsid w:val="000F2985"/>
    <w:rsid w:val="000F391F"/>
    <w:rsid w:val="000F43E0"/>
    <w:rsid w:val="000F4EA6"/>
    <w:rsid w:val="000F62A5"/>
    <w:rsid w:val="000F66E3"/>
    <w:rsid w:val="000F732F"/>
    <w:rsid w:val="000F7A5A"/>
    <w:rsid w:val="00100403"/>
    <w:rsid w:val="00100BBA"/>
    <w:rsid w:val="0010172B"/>
    <w:rsid w:val="001018EF"/>
    <w:rsid w:val="00101BBE"/>
    <w:rsid w:val="00102D30"/>
    <w:rsid w:val="001041DB"/>
    <w:rsid w:val="0010478D"/>
    <w:rsid w:val="001067A5"/>
    <w:rsid w:val="001067BB"/>
    <w:rsid w:val="00106942"/>
    <w:rsid w:val="00106BEF"/>
    <w:rsid w:val="00106E3A"/>
    <w:rsid w:val="001101D0"/>
    <w:rsid w:val="00111064"/>
    <w:rsid w:val="00111B6D"/>
    <w:rsid w:val="001121B8"/>
    <w:rsid w:val="00113421"/>
    <w:rsid w:val="00113A97"/>
    <w:rsid w:val="00114039"/>
    <w:rsid w:val="0011453F"/>
    <w:rsid w:val="001148F4"/>
    <w:rsid w:val="0011505A"/>
    <w:rsid w:val="00116027"/>
    <w:rsid w:val="0011677C"/>
    <w:rsid w:val="0011786C"/>
    <w:rsid w:val="00117C51"/>
    <w:rsid w:val="00120EF3"/>
    <w:rsid w:val="00120F31"/>
    <w:rsid w:val="00122199"/>
    <w:rsid w:val="00122668"/>
    <w:rsid w:val="0012343D"/>
    <w:rsid w:val="00123B62"/>
    <w:rsid w:val="0012406C"/>
    <w:rsid w:val="00124ACB"/>
    <w:rsid w:val="00125475"/>
    <w:rsid w:val="0012570F"/>
    <w:rsid w:val="00125D6C"/>
    <w:rsid w:val="00127454"/>
    <w:rsid w:val="00130104"/>
    <w:rsid w:val="00130F2E"/>
    <w:rsid w:val="001310BD"/>
    <w:rsid w:val="001316CE"/>
    <w:rsid w:val="00131761"/>
    <w:rsid w:val="00131850"/>
    <w:rsid w:val="0013198E"/>
    <w:rsid w:val="00131A8A"/>
    <w:rsid w:val="00131AD5"/>
    <w:rsid w:val="00131DCF"/>
    <w:rsid w:val="001324E9"/>
    <w:rsid w:val="00133811"/>
    <w:rsid w:val="00133F99"/>
    <w:rsid w:val="00133FD9"/>
    <w:rsid w:val="00134379"/>
    <w:rsid w:val="00134C96"/>
    <w:rsid w:val="00135047"/>
    <w:rsid w:val="00135F66"/>
    <w:rsid w:val="00137398"/>
    <w:rsid w:val="001373A9"/>
    <w:rsid w:val="001422FF"/>
    <w:rsid w:val="00143457"/>
    <w:rsid w:val="00144085"/>
    <w:rsid w:val="00144FE3"/>
    <w:rsid w:val="0014507D"/>
    <w:rsid w:val="001455CC"/>
    <w:rsid w:val="0014584E"/>
    <w:rsid w:val="00145E33"/>
    <w:rsid w:val="00146161"/>
    <w:rsid w:val="00147429"/>
    <w:rsid w:val="00147986"/>
    <w:rsid w:val="001501A7"/>
    <w:rsid w:val="00150270"/>
    <w:rsid w:val="00151C3E"/>
    <w:rsid w:val="00151EEF"/>
    <w:rsid w:val="001523C5"/>
    <w:rsid w:val="00152C97"/>
    <w:rsid w:val="00153104"/>
    <w:rsid w:val="00153603"/>
    <w:rsid w:val="00153E0E"/>
    <w:rsid w:val="00154D08"/>
    <w:rsid w:val="00155668"/>
    <w:rsid w:val="00155928"/>
    <w:rsid w:val="001561B9"/>
    <w:rsid w:val="00156AFA"/>
    <w:rsid w:val="00157360"/>
    <w:rsid w:val="00161DD0"/>
    <w:rsid w:val="00162472"/>
    <w:rsid w:val="001625B9"/>
    <w:rsid w:val="001642F2"/>
    <w:rsid w:val="00165A2E"/>
    <w:rsid w:val="001661FE"/>
    <w:rsid w:val="0016731A"/>
    <w:rsid w:val="00167E47"/>
    <w:rsid w:val="00170342"/>
    <w:rsid w:val="0017073F"/>
    <w:rsid w:val="00171188"/>
    <w:rsid w:val="00171E34"/>
    <w:rsid w:val="00171E4D"/>
    <w:rsid w:val="001726CC"/>
    <w:rsid w:val="00173028"/>
    <w:rsid w:val="0017309E"/>
    <w:rsid w:val="00173380"/>
    <w:rsid w:val="00173FB4"/>
    <w:rsid w:val="00174890"/>
    <w:rsid w:val="00174E0F"/>
    <w:rsid w:val="00175285"/>
    <w:rsid w:val="001755DF"/>
    <w:rsid w:val="00175CDA"/>
    <w:rsid w:val="00175FDA"/>
    <w:rsid w:val="00176032"/>
    <w:rsid w:val="0017640F"/>
    <w:rsid w:val="001767C7"/>
    <w:rsid w:val="00176A44"/>
    <w:rsid w:val="0018007F"/>
    <w:rsid w:val="001808F8"/>
    <w:rsid w:val="00180F14"/>
    <w:rsid w:val="00181308"/>
    <w:rsid w:val="001817CB"/>
    <w:rsid w:val="00181887"/>
    <w:rsid w:val="00181E90"/>
    <w:rsid w:val="00181E97"/>
    <w:rsid w:val="00183D5F"/>
    <w:rsid w:val="0018418D"/>
    <w:rsid w:val="00184BAC"/>
    <w:rsid w:val="00184DEE"/>
    <w:rsid w:val="00184E0D"/>
    <w:rsid w:val="00184E7B"/>
    <w:rsid w:val="00185B8A"/>
    <w:rsid w:val="00186B7D"/>
    <w:rsid w:val="001874C0"/>
    <w:rsid w:val="001879A7"/>
    <w:rsid w:val="00190407"/>
    <w:rsid w:val="00191967"/>
    <w:rsid w:val="00191FE9"/>
    <w:rsid w:val="00192B92"/>
    <w:rsid w:val="00193011"/>
    <w:rsid w:val="00193688"/>
    <w:rsid w:val="00193E49"/>
    <w:rsid w:val="00193EA2"/>
    <w:rsid w:val="00194272"/>
    <w:rsid w:val="00194A7E"/>
    <w:rsid w:val="00195136"/>
    <w:rsid w:val="00197CD8"/>
    <w:rsid w:val="00197E37"/>
    <w:rsid w:val="001A034F"/>
    <w:rsid w:val="001A06C8"/>
    <w:rsid w:val="001A09B5"/>
    <w:rsid w:val="001A0B07"/>
    <w:rsid w:val="001A105B"/>
    <w:rsid w:val="001A34BD"/>
    <w:rsid w:val="001A3D99"/>
    <w:rsid w:val="001A4CF9"/>
    <w:rsid w:val="001A4D3F"/>
    <w:rsid w:val="001A5B5D"/>
    <w:rsid w:val="001A5BBB"/>
    <w:rsid w:val="001A5D54"/>
    <w:rsid w:val="001A6BB7"/>
    <w:rsid w:val="001A7A24"/>
    <w:rsid w:val="001B1668"/>
    <w:rsid w:val="001B18B9"/>
    <w:rsid w:val="001B1FA0"/>
    <w:rsid w:val="001B2338"/>
    <w:rsid w:val="001B2A28"/>
    <w:rsid w:val="001B3D8F"/>
    <w:rsid w:val="001B3FD3"/>
    <w:rsid w:val="001B46CC"/>
    <w:rsid w:val="001B4DFE"/>
    <w:rsid w:val="001B502E"/>
    <w:rsid w:val="001B5A0D"/>
    <w:rsid w:val="001B6F1E"/>
    <w:rsid w:val="001B73C4"/>
    <w:rsid w:val="001B7FAF"/>
    <w:rsid w:val="001C1683"/>
    <w:rsid w:val="001C1A14"/>
    <w:rsid w:val="001C21F4"/>
    <w:rsid w:val="001C278D"/>
    <w:rsid w:val="001C49CB"/>
    <w:rsid w:val="001C58E7"/>
    <w:rsid w:val="001C5C91"/>
    <w:rsid w:val="001C631A"/>
    <w:rsid w:val="001C7882"/>
    <w:rsid w:val="001D0934"/>
    <w:rsid w:val="001D0C8B"/>
    <w:rsid w:val="001D0D10"/>
    <w:rsid w:val="001D0F8B"/>
    <w:rsid w:val="001D1899"/>
    <w:rsid w:val="001D3983"/>
    <w:rsid w:val="001D3B04"/>
    <w:rsid w:val="001D3C82"/>
    <w:rsid w:val="001D3FC1"/>
    <w:rsid w:val="001D464B"/>
    <w:rsid w:val="001D60AE"/>
    <w:rsid w:val="001D67B7"/>
    <w:rsid w:val="001D772A"/>
    <w:rsid w:val="001D7B1C"/>
    <w:rsid w:val="001E12EA"/>
    <w:rsid w:val="001E1306"/>
    <w:rsid w:val="001E16BF"/>
    <w:rsid w:val="001E1817"/>
    <w:rsid w:val="001E1BD4"/>
    <w:rsid w:val="001E2637"/>
    <w:rsid w:val="001E3000"/>
    <w:rsid w:val="001E45C7"/>
    <w:rsid w:val="001E5BDF"/>
    <w:rsid w:val="001E5F41"/>
    <w:rsid w:val="001E6A30"/>
    <w:rsid w:val="001E6E46"/>
    <w:rsid w:val="001E73A1"/>
    <w:rsid w:val="001F0404"/>
    <w:rsid w:val="001F121E"/>
    <w:rsid w:val="001F1C69"/>
    <w:rsid w:val="001F21C8"/>
    <w:rsid w:val="001F43E5"/>
    <w:rsid w:val="001F482E"/>
    <w:rsid w:val="001F5CD1"/>
    <w:rsid w:val="001F7915"/>
    <w:rsid w:val="001F7E4C"/>
    <w:rsid w:val="00200033"/>
    <w:rsid w:val="002001EC"/>
    <w:rsid w:val="00200E71"/>
    <w:rsid w:val="00200E9D"/>
    <w:rsid w:val="00200F04"/>
    <w:rsid w:val="0020174D"/>
    <w:rsid w:val="0020194E"/>
    <w:rsid w:val="00202269"/>
    <w:rsid w:val="002034AF"/>
    <w:rsid w:val="002039E4"/>
    <w:rsid w:val="0020648E"/>
    <w:rsid w:val="00206C9F"/>
    <w:rsid w:val="00206E79"/>
    <w:rsid w:val="00207D67"/>
    <w:rsid w:val="00210B3F"/>
    <w:rsid w:val="002115A0"/>
    <w:rsid w:val="00212EDA"/>
    <w:rsid w:val="0021357C"/>
    <w:rsid w:val="002146AA"/>
    <w:rsid w:val="00215499"/>
    <w:rsid w:val="00215769"/>
    <w:rsid w:val="0021633B"/>
    <w:rsid w:val="0021725F"/>
    <w:rsid w:val="0022151D"/>
    <w:rsid w:val="00223CFA"/>
    <w:rsid w:val="0022444E"/>
    <w:rsid w:val="00224485"/>
    <w:rsid w:val="00224F62"/>
    <w:rsid w:val="00225EB7"/>
    <w:rsid w:val="002261E8"/>
    <w:rsid w:val="0022664E"/>
    <w:rsid w:val="0022698F"/>
    <w:rsid w:val="002271DD"/>
    <w:rsid w:val="00227B52"/>
    <w:rsid w:val="00231FD5"/>
    <w:rsid w:val="00233054"/>
    <w:rsid w:val="00233680"/>
    <w:rsid w:val="00234753"/>
    <w:rsid w:val="00234FC7"/>
    <w:rsid w:val="0023535A"/>
    <w:rsid w:val="00236810"/>
    <w:rsid w:val="00237A60"/>
    <w:rsid w:val="0024317F"/>
    <w:rsid w:val="0024340B"/>
    <w:rsid w:val="0024493C"/>
    <w:rsid w:val="002529B5"/>
    <w:rsid w:val="00254756"/>
    <w:rsid w:val="0025598A"/>
    <w:rsid w:val="00256551"/>
    <w:rsid w:val="002567C0"/>
    <w:rsid w:val="00256C4B"/>
    <w:rsid w:val="00256F30"/>
    <w:rsid w:val="00257D7C"/>
    <w:rsid w:val="002600E9"/>
    <w:rsid w:val="0026032E"/>
    <w:rsid w:val="00260A5C"/>
    <w:rsid w:val="00261FE0"/>
    <w:rsid w:val="00262E55"/>
    <w:rsid w:val="00263064"/>
    <w:rsid w:val="002634AC"/>
    <w:rsid w:val="002636F1"/>
    <w:rsid w:val="002638A7"/>
    <w:rsid w:val="00264C55"/>
    <w:rsid w:val="002650E2"/>
    <w:rsid w:val="00267288"/>
    <w:rsid w:val="002672BA"/>
    <w:rsid w:val="00267429"/>
    <w:rsid w:val="00267EAB"/>
    <w:rsid w:val="002708A1"/>
    <w:rsid w:val="0027096B"/>
    <w:rsid w:val="00270DF3"/>
    <w:rsid w:val="00270EC7"/>
    <w:rsid w:val="00272701"/>
    <w:rsid w:val="00273253"/>
    <w:rsid w:val="0027442A"/>
    <w:rsid w:val="002748A4"/>
    <w:rsid w:val="00274E64"/>
    <w:rsid w:val="00275FF5"/>
    <w:rsid w:val="00276556"/>
    <w:rsid w:val="00276AF1"/>
    <w:rsid w:val="00277BD1"/>
    <w:rsid w:val="00277D6F"/>
    <w:rsid w:val="0028011B"/>
    <w:rsid w:val="002806BF"/>
    <w:rsid w:val="00281C45"/>
    <w:rsid w:val="00281E1B"/>
    <w:rsid w:val="00282EF1"/>
    <w:rsid w:val="00284AE1"/>
    <w:rsid w:val="0028559C"/>
    <w:rsid w:val="00285F8A"/>
    <w:rsid w:val="00286260"/>
    <w:rsid w:val="00286648"/>
    <w:rsid w:val="0028680B"/>
    <w:rsid w:val="002871C2"/>
    <w:rsid w:val="002872BC"/>
    <w:rsid w:val="0028760A"/>
    <w:rsid w:val="0029013E"/>
    <w:rsid w:val="00290D06"/>
    <w:rsid w:val="00290ED6"/>
    <w:rsid w:val="00290FDD"/>
    <w:rsid w:val="002926C7"/>
    <w:rsid w:val="00292E3E"/>
    <w:rsid w:val="00292F38"/>
    <w:rsid w:val="00293FB5"/>
    <w:rsid w:val="00294595"/>
    <w:rsid w:val="002951BC"/>
    <w:rsid w:val="00295C16"/>
    <w:rsid w:val="002966E5"/>
    <w:rsid w:val="00296788"/>
    <w:rsid w:val="002969C4"/>
    <w:rsid w:val="00296D98"/>
    <w:rsid w:val="002A0F47"/>
    <w:rsid w:val="002A191B"/>
    <w:rsid w:val="002A1E76"/>
    <w:rsid w:val="002A1E9B"/>
    <w:rsid w:val="002A21E1"/>
    <w:rsid w:val="002A2DBF"/>
    <w:rsid w:val="002A317A"/>
    <w:rsid w:val="002A49CF"/>
    <w:rsid w:val="002A4ADE"/>
    <w:rsid w:val="002A52DE"/>
    <w:rsid w:val="002A7633"/>
    <w:rsid w:val="002A7964"/>
    <w:rsid w:val="002B0787"/>
    <w:rsid w:val="002B0922"/>
    <w:rsid w:val="002B0D56"/>
    <w:rsid w:val="002B0F22"/>
    <w:rsid w:val="002B1D47"/>
    <w:rsid w:val="002B2055"/>
    <w:rsid w:val="002B2185"/>
    <w:rsid w:val="002B26E8"/>
    <w:rsid w:val="002B337C"/>
    <w:rsid w:val="002B3967"/>
    <w:rsid w:val="002B3EA3"/>
    <w:rsid w:val="002B43CC"/>
    <w:rsid w:val="002B43D4"/>
    <w:rsid w:val="002B5237"/>
    <w:rsid w:val="002B58C9"/>
    <w:rsid w:val="002B7538"/>
    <w:rsid w:val="002B77EB"/>
    <w:rsid w:val="002B7A39"/>
    <w:rsid w:val="002B7D9E"/>
    <w:rsid w:val="002C3730"/>
    <w:rsid w:val="002C3F50"/>
    <w:rsid w:val="002C4292"/>
    <w:rsid w:val="002C4B53"/>
    <w:rsid w:val="002C577B"/>
    <w:rsid w:val="002C6694"/>
    <w:rsid w:val="002C6950"/>
    <w:rsid w:val="002D130C"/>
    <w:rsid w:val="002D17E6"/>
    <w:rsid w:val="002D1AFB"/>
    <w:rsid w:val="002D2081"/>
    <w:rsid w:val="002D234C"/>
    <w:rsid w:val="002D2947"/>
    <w:rsid w:val="002D34B2"/>
    <w:rsid w:val="002D4555"/>
    <w:rsid w:val="002D5E29"/>
    <w:rsid w:val="002D764E"/>
    <w:rsid w:val="002D7CD7"/>
    <w:rsid w:val="002D7E66"/>
    <w:rsid w:val="002E0138"/>
    <w:rsid w:val="002E01C0"/>
    <w:rsid w:val="002E08A4"/>
    <w:rsid w:val="002E0D40"/>
    <w:rsid w:val="002E1B3A"/>
    <w:rsid w:val="002E2014"/>
    <w:rsid w:val="002E222F"/>
    <w:rsid w:val="002E27FA"/>
    <w:rsid w:val="002E338F"/>
    <w:rsid w:val="002E35F9"/>
    <w:rsid w:val="002E55D5"/>
    <w:rsid w:val="002E5953"/>
    <w:rsid w:val="002E59E1"/>
    <w:rsid w:val="002F0027"/>
    <w:rsid w:val="002F050E"/>
    <w:rsid w:val="002F059C"/>
    <w:rsid w:val="002F091B"/>
    <w:rsid w:val="002F0CFC"/>
    <w:rsid w:val="002F1028"/>
    <w:rsid w:val="002F2068"/>
    <w:rsid w:val="002F2C6B"/>
    <w:rsid w:val="002F3D4B"/>
    <w:rsid w:val="002F3E09"/>
    <w:rsid w:val="002F6253"/>
    <w:rsid w:val="002F767E"/>
    <w:rsid w:val="002F783F"/>
    <w:rsid w:val="002F7B6F"/>
    <w:rsid w:val="003023AD"/>
    <w:rsid w:val="0030248F"/>
    <w:rsid w:val="00303736"/>
    <w:rsid w:val="003037E0"/>
    <w:rsid w:val="00303D3A"/>
    <w:rsid w:val="003042AC"/>
    <w:rsid w:val="00304719"/>
    <w:rsid w:val="00304792"/>
    <w:rsid w:val="00304E3B"/>
    <w:rsid w:val="00306F9D"/>
    <w:rsid w:val="00307C07"/>
    <w:rsid w:val="003104E7"/>
    <w:rsid w:val="00311DDB"/>
    <w:rsid w:val="0031279E"/>
    <w:rsid w:val="003139C3"/>
    <w:rsid w:val="00313B13"/>
    <w:rsid w:val="00314BAC"/>
    <w:rsid w:val="003161F5"/>
    <w:rsid w:val="00316683"/>
    <w:rsid w:val="0031692D"/>
    <w:rsid w:val="003169FD"/>
    <w:rsid w:val="00316AF2"/>
    <w:rsid w:val="00317BF9"/>
    <w:rsid w:val="00317FCF"/>
    <w:rsid w:val="003200C1"/>
    <w:rsid w:val="00320BCA"/>
    <w:rsid w:val="003229D6"/>
    <w:rsid w:val="00322A02"/>
    <w:rsid w:val="00323523"/>
    <w:rsid w:val="003239CF"/>
    <w:rsid w:val="003247F5"/>
    <w:rsid w:val="00324887"/>
    <w:rsid w:val="00324EA3"/>
    <w:rsid w:val="00325608"/>
    <w:rsid w:val="00325D69"/>
    <w:rsid w:val="00326407"/>
    <w:rsid w:val="0032713F"/>
    <w:rsid w:val="00330163"/>
    <w:rsid w:val="0033069C"/>
    <w:rsid w:val="003306E2"/>
    <w:rsid w:val="00330745"/>
    <w:rsid w:val="0033191D"/>
    <w:rsid w:val="00331C31"/>
    <w:rsid w:val="00331CB9"/>
    <w:rsid w:val="00331F8E"/>
    <w:rsid w:val="00334B07"/>
    <w:rsid w:val="00334D2E"/>
    <w:rsid w:val="00340CB0"/>
    <w:rsid w:val="00341430"/>
    <w:rsid w:val="003416AF"/>
    <w:rsid w:val="00341C5C"/>
    <w:rsid w:val="00342B33"/>
    <w:rsid w:val="0034307F"/>
    <w:rsid w:val="003438CB"/>
    <w:rsid w:val="00343A23"/>
    <w:rsid w:val="003446B6"/>
    <w:rsid w:val="00345C8B"/>
    <w:rsid w:val="00345ECB"/>
    <w:rsid w:val="003461FA"/>
    <w:rsid w:val="00347FC1"/>
    <w:rsid w:val="003501E5"/>
    <w:rsid w:val="00350760"/>
    <w:rsid w:val="003517A4"/>
    <w:rsid w:val="00353111"/>
    <w:rsid w:val="0035431B"/>
    <w:rsid w:val="003545FF"/>
    <w:rsid w:val="00355825"/>
    <w:rsid w:val="00355CA1"/>
    <w:rsid w:val="003564A2"/>
    <w:rsid w:val="0035674E"/>
    <w:rsid w:val="00356BC8"/>
    <w:rsid w:val="0035777D"/>
    <w:rsid w:val="0035793B"/>
    <w:rsid w:val="0036131F"/>
    <w:rsid w:val="00361C1D"/>
    <w:rsid w:val="003629F8"/>
    <w:rsid w:val="00362D24"/>
    <w:rsid w:val="003639AE"/>
    <w:rsid w:val="00363CFB"/>
    <w:rsid w:val="00364DEF"/>
    <w:rsid w:val="00365709"/>
    <w:rsid w:val="0036583E"/>
    <w:rsid w:val="00365BF8"/>
    <w:rsid w:val="00365FE5"/>
    <w:rsid w:val="003670C0"/>
    <w:rsid w:val="00367DEC"/>
    <w:rsid w:val="0037087F"/>
    <w:rsid w:val="00370C59"/>
    <w:rsid w:val="0037153A"/>
    <w:rsid w:val="00371736"/>
    <w:rsid w:val="00371791"/>
    <w:rsid w:val="00371D26"/>
    <w:rsid w:val="003724C6"/>
    <w:rsid w:val="00372D44"/>
    <w:rsid w:val="00372F81"/>
    <w:rsid w:val="00373189"/>
    <w:rsid w:val="0037471C"/>
    <w:rsid w:val="003758CE"/>
    <w:rsid w:val="003769E3"/>
    <w:rsid w:val="003770AF"/>
    <w:rsid w:val="00377AE9"/>
    <w:rsid w:val="003807A0"/>
    <w:rsid w:val="00381747"/>
    <w:rsid w:val="00381833"/>
    <w:rsid w:val="003829C6"/>
    <w:rsid w:val="003831C3"/>
    <w:rsid w:val="00385259"/>
    <w:rsid w:val="003867EC"/>
    <w:rsid w:val="00386A65"/>
    <w:rsid w:val="00386DAC"/>
    <w:rsid w:val="00386F8D"/>
    <w:rsid w:val="00387E57"/>
    <w:rsid w:val="003904EC"/>
    <w:rsid w:val="003909A2"/>
    <w:rsid w:val="003915D7"/>
    <w:rsid w:val="00391B65"/>
    <w:rsid w:val="00391EB6"/>
    <w:rsid w:val="00392818"/>
    <w:rsid w:val="00392868"/>
    <w:rsid w:val="00393001"/>
    <w:rsid w:val="00393747"/>
    <w:rsid w:val="00393E3B"/>
    <w:rsid w:val="003957B8"/>
    <w:rsid w:val="00395D2F"/>
    <w:rsid w:val="003965D3"/>
    <w:rsid w:val="00397ABA"/>
    <w:rsid w:val="003A09C0"/>
    <w:rsid w:val="003A1143"/>
    <w:rsid w:val="003A130D"/>
    <w:rsid w:val="003A15B5"/>
    <w:rsid w:val="003A31D1"/>
    <w:rsid w:val="003A3481"/>
    <w:rsid w:val="003A4D6E"/>
    <w:rsid w:val="003A6FAF"/>
    <w:rsid w:val="003A723C"/>
    <w:rsid w:val="003A7613"/>
    <w:rsid w:val="003B1436"/>
    <w:rsid w:val="003B1526"/>
    <w:rsid w:val="003B172F"/>
    <w:rsid w:val="003B1F34"/>
    <w:rsid w:val="003B2005"/>
    <w:rsid w:val="003B350F"/>
    <w:rsid w:val="003B3A05"/>
    <w:rsid w:val="003B4AF2"/>
    <w:rsid w:val="003B4E69"/>
    <w:rsid w:val="003B5C07"/>
    <w:rsid w:val="003B5D0F"/>
    <w:rsid w:val="003C0076"/>
    <w:rsid w:val="003C0130"/>
    <w:rsid w:val="003C0150"/>
    <w:rsid w:val="003C1814"/>
    <w:rsid w:val="003C2097"/>
    <w:rsid w:val="003C20B4"/>
    <w:rsid w:val="003C219A"/>
    <w:rsid w:val="003C2B72"/>
    <w:rsid w:val="003C2B85"/>
    <w:rsid w:val="003C46E3"/>
    <w:rsid w:val="003C52AA"/>
    <w:rsid w:val="003C662F"/>
    <w:rsid w:val="003C7D99"/>
    <w:rsid w:val="003D0D0C"/>
    <w:rsid w:val="003D11DB"/>
    <w:rsid w:val="003D1F47"/>
    <w:rsid w:val="003D2E54"/>
    <w:rsid w:val="003D2F6F"/>
    <w:rsid w:val="003D3138"/>
    <w:rsid w:val="003D46C7"/>
    <w:rsid w:val="003D5054"/>
    <w:rsid w:val="003D6E3B"/>
    <w:rsid w:val="003D74B8"/>
    <w:rsid w:val="003D763E"/>
    <w:rsid w:val="003E04AE"/>
    <w:rsid w:val="003E08F3"/>
    <w:rsid w:val="003E0FD5"/>
    <w:rsid w:val="003E163E"/>
    <w:rsid w:val="003E251C"/>
    <w:rsid w:val="003E2BFA"/>
    <w:rsid w:val="003E3C32"/>
    <w:rsid w:val="003E3FC4"/>
    <w:rsid w:val="003E6191"/>
    <w:rsid w:val="003E66A0"/>
    <w:rsid w:val="003E6E68"/>
    <w:rsid w:val="003E6F5D"/>
    <w:rsid w:val="003E7EE6"/>
    <w:rsid w:val="003F10BD"/>
    <w:rsid w:val="003F2B09"/>
    <w:rsid w:val="003F2B70"/>
    <w:rsid w:val="003F35E7"/>
    <w:rsid w:val="003F389D"/>
    <w:rsid w:val="003F4393"/>
    <w:rsid w:val="003F46DC"/>
    <w:rsid w:val="003F5A8F"/>
    <w:rsid w:val="003F6180"/>
    <w:rsid w:val="003F6F38"/>
    <w:rsid w:val="003F78CF"/>
    <w:rsid w:val="00401355"/>
    <w:rsid w:val="00402F26"/>
    <w:rsid w:val="0040344C"/>
    <w:rsid w:val="00404349"/>
    <w:rsid w:val="0040504E"/>
    <w:rsid w:val="0040542F"/>
    <w:rsid w:val="00405976"/>
    <w:rsid w:val="00406602"/>
    <w:rsid w:val="00406F64"/>
    <w:rsid w:val="00407F90"/>
    <w:rsid w:val="00410005"/>
    <w:rsid w:val="004108B0"/>
    <w:rsid w:val="00410A0A"/>
    <w:rsid w:val="00410C6F"/>
    <w:rsid w:val="00411A23"/>
    <w:rsid w:val="0041215F"/>
    <w:rsid w:val="0041261E"/>
    <w:rsid w:val="00414590"/>
    <w:rsid w:val="00414CB0"/>
    <w:rsid w:val="0041540C"/>
    <w:rsid w:val="00416000"/>
    <w:rsid w:val="00416616"/>
    <w:rsid w:val="004169F6"/>
    <w:rsid w:val="004200D3"/>
    <w:rsid w:val="00420464"/>
    <w:rsid w:val="00420506"/>
    <w:rsid w:val="00420712"/>
    <w:rsid w:val="00420DCB"/>
    <w:rsid w:val="0042199B"/>
    <w:rsid w:val="004220EF"/>
    <w:rsid w:val="00422767"/>
    <w:rsid w:val="00423E71"/>
    <w:rsid w:val="004246BC"/>
    <w:rsid w:val="004253ED"/>
    <w:rsid w:val="00425434"/>
    <w:rsid w:val="00425AD0"/>
    <w:rsid w:val="00425E11"/>
    <w:rsid w:val="0042605A"/>
    <w:rsid w:val="00426432"/>
    <w:rsid w:val="0042680A"/>
    <w:rsid w:val="00426BC2"/>
    <w:rsid w:val="00426CD4"/>
    <w:rsid w:val="00426F4B"/>
    <w:rsid w:val="00430F89"/>
    <w:rsid w:val="00431010"/>
    <w:rsid w:val="00431C84"/>
    <w:rsid w:val="00431EBF"/>
    <w:rsid w:val="00432843"/>
    <w:rsid w:val="00432D62"/>
    <w:rsid w:val="00434324"/>
    <w:rsid w:val="004346C1"/>
    <w:rsid w:val="004356E8"/>
    <w:rsid w:val="0043693E"/>
    <w:rsid w:val="00436DC2"/>
    <w:rsid w:val="00437518"/>
    <w:rsid w:val="00440C64"/>
    <w:rsid w:val="004426B0"/>
    <w:rsid w:val="00443569"/>
    <w:rsid w:val="00443E36"/>
    <w:rsid w:val="00444FDF"/>
    <w:rsid w:val="00445353"/>
    <w:rsid w:val="004463DF"/>
    <w:rsid w:val="00447223"/>
    <w:rsid w:val="00447274"/>
    <w:rsid w:val="00447F59"/>
    <w:rsid w:val="00447FDA"/>
    <w:rsid w:val="0045176F"/>
    <w:rsid w:val="004518A5"/>
    <w:rsid w:val="00456506"/>
    <w:rsid w:val="00457843"/>
    <w:rsid w:val="00457B1F"/>
    <w:rsid w:val="00457B47"/>
    <w:rsid w:val="00457E53"/>
    <w:rsid w:val="004605A1"/>
    <w:rsid w:val="00460CBE"/>
    <w:rsid w:val="0046150C"/>
    <w:rsid w:val="004626D2"/>
    <w:rsid w:val="004632E7"/>
    <w:rsid w:val="0046397B"/>
    <w:rsid w:val="00464860"/>
    <w:rsid w:val="00464EAA"/>
    <w:rsid w:val="004650A5"/>
    <w:rsid w:val="00465FAC"/>
    <w:rsid w:val="0046793C"/>
    <w:rsid w:val="00467BB1"/>
    <w:rsid w:val="00467DC7"/>
    <w:rsid w:val="004703FB"/>
    <w:rsid w:val="0047040F"/>
    <w:rsid w:val="00470541"/>
    <w:rsid w:val="004707E6"/>
    <w:rsid w:val="00470C55"/>
    <w:rsid w:val="00470CB3"/>
    <w:rsid w:val="004713D7"/>
    <w:rsid w:val="00471579"/>
    <w:rsid w:val="004720F9"/>
    <w:rsid w:val="00473E0F"/>
    <w:rsid w:val="00474CF8"/>
    <w:rsid w:val="00474F2A"/>
    <w:rsid w:val="004754EC"/>
    <w:rsid w:val="004756CD"/>
    <w:rsid w:val="004761B1"/>
    <w:rsid w:val="00476D28"/>
    <w:rsid w:val="00477761"/>
    <w:rsid w:val="00480476"/>
    <w:rsid w:val="00480B71"/>
    <w:rsid w:val="00480C3E"/>
    <w:rsid w:val="00481AFA"/>
    <w:rsid w:val="00481B03"/>
    <w:rsid w:val="00481D01"/>
    <w:rsid w:val="00481E87"/>
    <w:rsid w:val="004835B2"/>
    <w:rsid w:val="00483AF3"/>
    <w:rsid w:val="004842EB"/>
    <w:rsid w:val="004844F0"/>
    <w:rsid w:val="00484FA9"/>
    <w:rsid w:val="004861EC"/>
    <w:rsid w:val="00487CA9"/>
    <w:rsid w:val="0049025F"/>
    <w:rsid w:val="00490DCA"/>
    <w:rsid w:val="0049214C"/>
    <w:rsid w:val="00493791"/>
    <w:rsid w:val="00493EC7"/>
    <w:rsid w:val="004957E4"/>
    <w:rsid w:val="00495A39"/>
    <w:rsid w:val="00496A75"/>
    <w:rsid w:val="00496DBD"/>
    <w:rsid w:val="0049734A"/>
    <w:rsid w:val="00497799"/>
    <w:rsid w:val="00497847"/>
    <w:rsid w:val="004A072B"/>
    <w:rsid w:val="004A0DAA"/>
    <w:rsid w:val="004A0EAE"/>
    <w:rsid w:val="004A1115"/>
    <w:rsid w:val="004A15C3"/>
    <w:rsid w:val="004A21AE"/>
    <w:rsid w:val="004A2C34"/>
    <w:rsid w:val="004A2CD6"/>
    <w:rsid w:val="004A2D15"/>
    <w:rsid w:val="004A303D"/>
    <w:rsid w:val="004A357A"/>
    <w:rsid w:val="004A57BD"/>
    <w:rsid w:val="004A5EA1"/>
    <w:rsid w:val="004A5F0D"/>
    <w:rsid w:val="004A7AB4"/>
    <w:rsid w:val="004A7CAE"/>
    <w:rsid w:val="004A7DBA"/>
    <w:rsid w:val="004A7F74"/>
    <w:rsid w:val="004B0137"/>
    <w:rsid w:val="004B0402"/>
    <w:rsid w:val="004B1F89"/>
    <w:rsid w:val="004B2C1A"/>
    <w:rsid w:val="004B2D2C"/>
    <w:rsid w:val="004B3DC4"/>
    <w:rsid w:val="004B50EB"/>
    <w:rsid w:val="004B554F"/>
    <w:rsid w:val="004B6717"/>
    <w:rsid w:val="004B6935"/>
    <w:rsid w:val="004B6C23"/>
    <w:rsid w:val="004C14B7"/>
    <w:rsid w:val="004C1CE8"/>
    <w:rsid w:val="004C1F43"/>
    <w:rsid w:val="004C291D"/>
    <w:rsid w:val="004C3994"/>
    <w:rsid w:val="004C3DBF"/>
    <w:rsid w:val="004C3E21"/>
    <w:rsid w:val="004C47ED"/>
    <w:rsid w:val="004C5A57"/>
    <w:rsid w:val="004C6252"/>
    <w:rsid w:val="004C6F20"/>
    <w:rsid w:val="004C707C"/>
    <w:rsid w:val="004C759B"/>
    <w:rsid w:val="004C7934"/>
    <w:rsid w:val="004C7E8C"/>
    <w:rsid w:val="004D120C"/>
    <w:rsid w:val="004D1743"/>
    <w:rsid w:val="004D26D7"/>
    <w:rsid w:val="004D27F5"/>
    <w:rsid w:val="004D2C68"/>
    <w:rsid w:val="004D3C6D"/>
    <w:rsid w:val="004D7654"/>
    <w:rsid w:val="004D7BD1"/>
    <w:rsid w:val="004D7CEE"/>
    <w:rsid w:val="004E0143"/>
    <w:rsid w:val="004E17B7"/>
    <w:rsid w:val="004E1A4F"/>
    <w:rsid w:val="004E1AA9"/>
    <w:rsid w:val="004E2C2D"/>
    <w:rsid w:val="004E2C50"/>
    <w:rsid w:val="004E3660"/>
    <w:rsid w:val="004E437B"/>
    <w:rsid w:val="004E5F6A"/>
    <w:rsid w:val="004E6530"/>
    <w:rsid w:val="004E6BCB"/>
    <w:rsid w:val="004E7096"/>
    <w:rsid w:val="004E7953"/>
    <w:rsid w:val="004F01C1"/>
    <w:rsid w:val="004F1B9B"/>
    <w:rsid w:val="004F2E00"/>
    <w:rsid w:val="004F3379"/>
    <w:rsid w:val="004F56C1"/>
    <w:rsid w:val="004F6E81"/>
    <w:rsid w:val="004F7001"/>
    <w:rsid w:val="004F7075"/>
    <w:rsid w:val="0050260E"/>
    <w:rsid w:val="0050290E"/>
    <w:rsid w:val="005039E1"/>
    <w:rsid w:val="005045D7"/>
    <w:rsid w:val="0050480B"/>
    <w:rsid w:val="00505341"/>
    <w:rsid w:val="00505355"/>
    <w:rsid w:val="00505A58"/>
    <w:rsid w:val="005076EE"/>
    <w:rsid w:val="0051358B"/>
    <w:rsid w:val="00513FF9"/>
    <w:rsid w:val="00514E94"/>
    <w:rsid w:val="00515DC3"/>
    <w:rsid w:val="00516575"/>
    <w:rsid w:val="00516AFA"/>
    <w:rsid w:val="00516F77"/>
    <w:rsid w:val="00517D86"/>
    <w:rsid w:val="00520B01"/>
    <w:rsid w:val="00521C9F"/>
    <w:rsid w:val="00522EE9"/>
    <w:rsid w:val="00523FC3"/>
    <w:rsid w:val="0052428C"/>
    <w:rsid w:val="00526197"/>
    <w:rsid w:val="00526D32"/>
    <w:rsid w:val="005270A8"/>
    <w:rsid w:val="00527308"/>
    <w:rsid w:val="0052759D"/>
    <w:rsid w:val="00527695"/>
    <w:rsid w:val="00527D94"/>
    <w:rsid w:val="005311F2"/>
    <w:rsid w:val="005314BA"/>
    <w:rsid w:val="00532B97"/>
    <w:rsid w:val="0053378D"/>
    <w:rsid w:val="00533EAE"/>
    <w:rsid w:val="00534A24"/>
    <w:rsid w:val="005351E9"/>
    <w:rsid w:val="005357BE"/>
    <w:rsid w:val="005359B7"/>
    <w:rsid w:val="005367F6"/>
    <w:rsid w:val="00536835"/>
    <w:rsid w:val="00537564"/>
    <w:rsid w:val="005402F6"/>
    <w:rsid w:val="0054039C"/>
    <w:rsid w:val="00540F14"/>
    <w:rsid w:val="005410E5"/>
    <w:rsid w:val="00541166"/>
    <w:rsid w:val="005416EE"/>
    <w:rsid w:val="00541893"/>
    <w:rsid w:val="0054333F"/>
    <w:rsid w:val="00543539"/>
    <w:rsid w:val="00543DC2"/>
    <w:rsid w:val="0054470E"/>
    <w:rsid w:val="00544943"/>
    <w:rsid w:val="0054573A"/>
    <w:rsid w:val="00546826"/>
    <w:rsid w:val="00547C7C"/>
    <w:rsid w:val="0055111D"/>
    <w:rsid w:val="005517F9"/>
    <w:rsid w:val="00551959"/>
    <w:rsid w:val="00552409"/>
    <w:rsid w:val="00552499"/>
    <w:rsid w:val="00552A68"/>
    <w:rsid w:val="00552AFD"/>
    <w:rsid w:val="0055328D"/>
    <w:rsid w:val="00553312"/>
    <w:rsid w:val="00554B89"/>
    <w:rsid w:val="005554E3"/>
    <w:rsid w:val="00555744"/>
    <w:rsid w:val="00555CF7"/>
    <w:rsid w:val="00555D04"/>
    <w:rsid w:val="00556861"/>
    <w:rsid w:val="005575EF"/>
    <w:rsid w:val="0055760E"/>
    <w:rsid w:val="005577D9"/>
    <w:rsid w:val="0055780F"/>
    <w:rsid w:val="00557F0C"/>
    <w:rsid w:val="00561DCD"/>
    <w:rsid w:val="00563C94"/>
    <w:rsid w:val="00563FE8"/>
    <w:rsid w:val="00564390"/>
    <w:rsid w:val="00564C47"/>
    <w:rsid w:val="00566B2A"/>
    <w:rsid w:val="00567AB6"/>
    <w:rsid w:val="005709DD"/>
    <w:rsid w:val="00570C86"/>
    <w:rsid w:val="005713C5"/>
    <w:rsid w:val="00571DF1"/>
    <w:rsid w:val="005724CF"/>
    <w:rsid w:val="0057263B"/>
    <w:rsid w:val="00572CA1"/>
    <w:rsid w:val="00573E85"/>
    <w:rsid w:val="00574033"/>
    <w:rsid w:val="00574F1C"/>
    <w:rsid w:val="00575530"/>
    <w:rsid w:val="00575ECE"/>
    <w:rsid w:val="00576051"/>
    <w:rsid w:val="00576786"/>
    <w:rsid w:val="0057682A"/>
    <w:rsid w:val="00576BE6"/>
    <w:rsid w:val="0057780F"/>
    <w:rsid w:val="00577FA0"/>
    <w:rsid w:val="0058036D"/>
    <w:rsid w:val="00580954"/>
    <w:rsid w:val="00580F8F"/>
    <w:rsid w:val="00580FD1"/>
    <w:rsid w:val="00581372"/>
    <w:rsid w:val="00582586"/>
    <w:rsid w:val="00583900"/>
    <w:rsid w:val="0058404E"/>
    <w:rsid w:val="00585BEB"/>
    <w:rsid w:val="00586543"/>
    <w:rsid w:val="005868F3"/>
    <w:rsid w:val="00587093"/>
    <w:rsid w:val="00587B79"/>
    <w:rsid w:val="00592C1E"/>
    <w:rsid w:val="00593B94"/>
    <w:rsid w:val="00594A13"/>
    <w:rsid w:val="005A0299"/>
    <w:rsid w:val="005A07AD"/>
    <w:rsid w:val="005A08FA"/>
    <w:rsid w:val="005A17A9"/>
    <w:rsid w:val="005A3030"/>
    <w:rsid w:val="005A43F5"/>
    <w:rsid w:val="005A446E"/>
    <w:rsid w:val="005A57CE"/>
    <w:rsid w:val="005A6AFF"/>
    <w:rsid w:val="005A6C25"/>
    <w:rsid w:val="005A7A13"/>
    <w:rsid w:val="005B0440"/>
    <w:rsid w:val="005B063C"/>
    <w:rsid w:val="005B1E9E"/>
    <w:rsid w:val="005B2015"/>
    <w:rsid w:val="005B22C8"/>
    <w:rsid w:val="005B303A"/>
    <w:rsid w:val="005B31F1"/>
    <w:rsid w:val="005B3EF9"/>
    <w:rsid w:val="005B4247"/>
    <w:rsid w:val="005B5685"/>
    <w:rsid w:val="005B56ED"/>
    <w:rsid w:val="005B574D"/>
    <w:rsid w:val="005B640A"/>
    <w:rsid w:val="005B66AD"/>
    <w:rsid w:val="005C121C"/>
    <w:rsid w:val="005C16D4"/>
    <w:rsid w:val="005C2E3E"/>
    <w:rsid w:val="005C3054"/>
    <w:rsid w:val="005C30F8"/>
    <w:rsid w:val="005C3262"/>
    <w:rsid w:val="005C3B22"/>
    <w:rsid w:val="005C3B84"/>
    <w:rsid w:val="005C42C1"/>
    <w:rsid w:val="005C4406"/>
    <w:rsid w:val="005C48B2"/>
    <w:rsid w:val="005C5084"/>
    <w:rsid w:val="005C6F7D"/>
    <w:rsid w:val="005D18AC"/>
    <w:rsid w:val="005D19A9"/>
    <w:rsid w:val="005D2111"/>
    <w:rsid w:val="005D2DCD"/>
    <w:rsid w:val="005D367D"/>
    <w:rsid w:val="005D372E"/>
    <w:rsid w:val="005D47CB"/>
    <w:rsid w:val="005D4B22"/>
    <w:rsid w:val="005D4BC4"/>
    <w:rsid w:val="005D4FEF"/>
    <w:rsid w:val="005D690B"/>
    <w:rsid w:val="005D6CD4"/>
    <w:rsid w:val="005D70FE"/>
    <w:rsid w:val="005E188D"/>
    <w:rsid w:val="005E1C94"/>
    <w:rsid w:val="005E24D9"/>
    <w:rsid w:val="005E4B13"/>
    <w:rsid w:val="005E5C66"/>
    <w:rsid w:val="005E5EED"/>
    <w:rsid w:val="005F06CD"/>
    <w:rsid w:val="005F1248"/>
    <w:rsid w:val="005F16D8"/>
    <w:rsid w:val="005F3331"/>
    <w:rsid w:val="005F3BE8"/>
    <w:rsid w:val="005F40ED"/>
    <w:rsid w:val="005F45B5"/>
    <w:rsid w:val="005F4C2D"/>
    <w:rsid w:val="005F50D8"/>
    <w:rsid w:val="005F52A3"/>
    <w:rsid w:val="005F5A1B"/>
    <w:rsid w:val="005F5C96"/>
    <w:rsid w:val="005F684A"/>
    <w:rsid w:val="005F6AE6"/>
    <w:rsid w:val="005F724D"/>
    <w:rsid w:val="005F77FA"/>
    <w:rsid w:val="005F78D2"/>
    <w:rsid w:val="006000A1"/>
    <w:rsid w:val="0060025E"/>
    <w:rsid w:val="006018D0"/>
    <w:rsid w:val="0060195F"/>
    <w:rsid w:val="0060209B"/>
    <w:rsid w:val="00603CCB"/>
    <w:rsid w:val="006070C7"/>
    <w:rsid w:val="00611197"/>
    <w:rsid w:val="00611DE5"/>
    <w:rsid w:val="00612891"/>
    <w:rsid w:val="00615801"/>
    <w:rsid w:val="006159AA"/>
    <w:rsid w:val="00616E63"/>
    <w:rsid w:val="0061767B"/>
    <w:rsid w:val="0061794B"/>
    <w:rsid w:val="00617ABF"/>
    <w:rsid w:val="00620B76"/>
    <w:rsid w:val="00621029"/>
    <w:rsid w:val="0062232F"/>
    <w:rsid w:val="0062331A"/>
    <w:rsid w:val="00623331"/>
    <w:rsid w:val="0062393E"/>
    <w:rsid w:val="006244D6"/>
    <w:rsid w:val="00625305"/>
    <w:rsid w:val="006254DA"/>
    <w:rsid w:val="00625FD9"/>
    <w:rsid w:val="0062665C"/>
    <w:rsid w:val="00626A2F"/>
    <w:rsid w:val="0063015F"/>
    <w:rsid w:val="006307FD"/>
    <w:rsid w:val="00630EC8"/>
    <w:rsid w:val="00632395"/>
    <w:rsid w:val="006335BE"/>
    <w:rsid w:val="00633C01"/>
    <w:rsid w:val="00634B0F"/>
    <w:rsid w:val="00634E66"/>
    <w:rsid w:val="00634F35"/>
    <w:rsid w:val="006356B3"/>
    <w:rsid w:val="00636ACE"/>
    <w:rsid w:val="00636B98"/>
    <w:rsid w:val="006379DB"/>
    <w:rsid w:val="00637C09"/>
    <w:rsid w:val="006409A2"/>
    <w:rsid w:val="006414F0"/>
    <w:rsid w:val="00641D52"/>
    <w:rsid w:val="00642F01"/>
    <w:rsid w:val="00642FC7"/>
    <w:rsid w:val="00643381"/>
    <w:rsid w:val="00643CCA"/>
    <w:rsid w:val="00644E49"/>
    <w:rsid w:val="0064584D"/>
    <w:rsid w:val="00645B27"/>
    <w:rsid w:val="00645BC6"/>
    <w:rsid w:val="0064630D"/>
    <w:rsid w:val="006463DB"/>
    <w:rsid w:val="00646F2F"/>
    <w:rsid w:val="00647550"/>
    <w:rsid w:val="006478FA"/>
    <w:rsid w:val="006479F3"/>
    <w:rsid w:val="00650B82"/>
    <w:rsid w:val="00650F3C"/>
    <w:rsid w:val="00650FF0"/>
    <w:rsid w:val="00651086"/>
    <w:rsid w:val="00651AFC"/>
    <w:rsid w:val="00651C35"/>
    <w:rsid w:val="00653BBC"/>
    <w:rsid w:val="00653E9B"/>
    <w:rsid w:val="00654B02"/>
    <w:rsid w:val="006550A5"/>
    <w:rsid w:val="00655177"/>
    <w:rsid w:val="00655220"/>
    <w:rsid w:val="006611C3"/>
    <w:rsid w:val="00661254"/>
    <w:rsid w:val="00662A27"/>
    <w:rsid w:val="00663128"/>
    <w:rsid w:val="0066448F"/>
    <w:rsid w:val="00665160"/>
    <w:rsid w:val="00666134"/>
    <w:rsid w:val="00667035"/>
    <w:rsid w:val="00667696"/>
    <w:rsid w:val="00670D27"/>
    <w:rsid w:val="00672042"/>
    <w:rsid w:val="006727F3"/>
    <w:rsid w:val="00673458"/>
    <w:rsid w:val="0067431C"/>
    <w:rsid w:val="00674544"/>
    <w:rsid w:val="00674DBE"/>
    <w:rsid w:val="006753D0"/>
    <w:rsid w:val="00676981"/>
    <w:rsid w:val="00676A21"/>
    <w:rsid w:val="00677400"/>
    <w:rsid w:val="00677457"/>
    <w:rsid w:val="00677D2C"/>
    <w:rsid w:val="00680021"/>
    <w:rsid w:val="00680F59"/>
    <w:rsid w:val="006814FC"/>
    <w:rsid w:val="00681C3B"/>
    <w:rsid w:val="00681C74"/>
    <w:rsid w:val="00682E92"/>
    <w:rsid w:val="0068371E"/>
    <w:rsid w:val="006843D1"/>
    <w:rsid w:val="006853EC"/>
    <w:rsid w:val="006854DA"/>
    <w:rsid w:val="00685AF3"/>
    <w:rsid w:val="00685CC9"/>
    <w:rsid w:val="006864E7"/>
    <w:rsid w:val="00687E29"/>
    <w:rsid w:val="006901B1"/>
    <w:rsid w:val="00690997"/>
    <w:rsid w:val="00690C99"/>
    <w:rsid w:val="00690F7D"/>
    <w:rsid w:val="006914F5"/>
    <w:rsid w:val="00691A3E"/>
    <w:rsid w:val="006925E8"/>
    <w:rsid w:val="006938E3"/>
    <w:rsid w:val="006938ED"/>
    <w:rsid w:val="0069447D"/>
    <w:rsid w:val="00694734"/>
    <w:rsid w:val="006949F9"/>
    <w:rsid w:val="00694AF3"/>
    <w:rsid w:val="00694C23"/>
    <w:rsid w:val="00694E71"/>
    <w:rsid w:val="00695434"/>
    <w:rsid w:val="006954AB"/>
    <w:rsid w:val="00695F61"/>
    <w:rsid w:val="0069644F"/>
    <w:rsid w:val="0069663F"/>
    <w:rsid w:val="00696ADA"/>
    <w:rsid w:val="0069750B"/>
    <w:rsid w:val="00697A5D"/>
    <w:rsid w:val="00697AE4"/>
    <w:rsid w:val="006A1388"/>
    <w:rsid w:val="006A152B"/>
    <w:rsid w:val="006A1722"/>
    <w:rsid w:val="006A1B33"/>
    <w:rsid w:val="006A2A80"/>
    <w:rsid w:val="006A2DB6"/>
    <w:rsid w:val="006A3BF8"/>
    <w:rsid w:val="006A41BF"/>
    <w:rsid w:val="006A4468"/>
    <w:rsid w:val="006A5051"/>
    <w:rsid w:val="006A53EE"/>
    <w:rsid w:val="006A732D"/>
    <w:rsid w:val="006B0268"/>
    <w:rsid w:val="006B08D3"/>
    <w:rsid w:val="006B10E3"/>
    <w:rsid w:val="006B14CB"/>
    <w:rsid w:val="006B1B8E"/>
    <w:rsid w:val="006B257C"/>
    <w:rsid w:val="006B2752"/>
    <w:rsid w:val="006B30A0"/>
    <w:rsid w:val="006B3197"/>
    <w:rsid w:val="006B450E"/>
    <w:rsid w:val="006B4A3F"/>
    <w:rsid w:val="006B53E9"/>
    <w:rsid w:val="006B57BB"/>
    <w:rsid w:val="006B690F"/>
    <w:rsid w:val="006B6E84"/>
    <w:rsid w:val="006B6ED7"/>
    <w:rsid w:val="006B7863"/>
    <w:rsid w:val="006B7920"/>
    <w:rsid w:val="006C0A02"/>
    <w:rsid w:val="006C1A2B"/>
    <w:rsid w:val="006C22E7"/>
    <w:rsid w:val="006C2354"/>
    <w:rsid w:val="006C26FC"/>
    <w:rsid w:val="006C3437"/>
    <w:rsid w:val="006C3BCF"/>
    <w:rsid w:val="006C3F76"/>
    <w:rsid w:val="006C4FD2"/>
    <w:rsid w:val="006C50A9"/>
    <w:rsid w:val="006C59AC"/>
    <w:rsid w:val="006C6199"/>
    <w:rsid w:val="006C6DF7"/>
    <w:rsid w:val="006D04C3"/>
    <w:rsid w:val="006D0CB1"/>
    <w:rsid w:val="006D0E9F"/>
    <w:rsid w:val="006D1796"/>
    <w:rsid w:val="006D18E9"/>
    <w:rsid w:val="006D1D95"/>
    <w:rsid w:val="006D1F5A"/>
    <w:rsid w:val="006D27D5"/>
    <w:rsid w:val="006D2968"/>
    <w:rsid w:val="006D2A3E"/>
    <w:rsid w:val="006D2AEC"/>
    <w:rsid w:val="006D4789"/>
    <w:rsid w:val="006D49EA"/>
    <w:rsid w:val="006D5342"/>
    <w:rsid w:val="006D6433"/>
    <w:rsid w:val="006D7029"/>
    <w:rsid w:val="006D76A3"/>
    <w:rsid w:val="006D7BB0"/>
    <w:rsid w:val="006E1C8C"/>
    <w:rsid w:val="006E1D2E"/>
    <w:rsid w:val="006E2078"/>
    <w:rsid w:val="006E2920"/>
    <w:rsid w:val="006E2C3B"/>
    <w:rsid w:val="006E35C1"/>
    <w:rsid w:val="006E3686"/>
    <w:rsid w:val="006E3F8A"/>
    <w:rsid w:val="006E4495"/>
    <w:rsid w:val="006E4A43"/>
    <w:rsid w:val="006E4CDE"/>
    <w:rsid w:val="006E509D"/>
    <w:rsid w:val="006E53D1"/>
    <w:rsid w:val="006E6849"/>
    <w:rsid w:val="006E6C0E"/>
    <w:rsid w:val="006E730D"/>
    <w:rsid w:val="006E7A0F"/>
    <w:rsid w:val="006E7BE1"/>
    <w:rsid w:val="006F3194"/>
    <w:rsid w:val="006F4618"/>
    <w:rsid w:val="006F4801"/>
    <w:rsid w:val="006F585F"/>
    <w:rsid w:val="006F5FBF"/>
    <w:rsid w:val="006F6C97"/>
    <w:rsid w:val="006F6EB2"/>
    <w:rsid w:val="006F79A4"/>
    <w:rsid w:val="0070070F"/>
    <w:rsid w:val="007010AC"/>
    <w:rsid w:val="00701447"/>
    <w:rsid w:val="00701BE2"/>
    <w:rsid w:val="00701C42"/>
    <w:rsid w:val="00703C71"/>
    <w:rsid w:val="00704C05"/>
    <w:rsid w:val="007053F9"/>
    <w:rsid w:val="00705664"/>
    <w:rsid w:val="00705E35"/>
    <w:rsid w:val="007064C2"/>
    <w:rsid w:val="0070683B"/>
    <w:rsid w:val="007071CE"/>
    <w:rsid w:val="00707379"/>
    <w:rsid w:val="007074E7"/>
    <w:rsid w:val="00707D8A"/>
    <w:rsid w:val="00710CC6"/>
    <w:rsid w:val="0071259A"/>
    <w:rsid w:val="00713FCC"/>
    <w:rsid w:val="0071501C"/>
    <w:rsid w:val="00715DA5"/>
    <w:rsid w:val="00716B7D"/>
    <w:rsid w:val="00716D86"/>
    <w:rsid w:val="00716FBB"/>
    <w:rsid w:val="0071793F"/>
    <w:rsid w:val="00717A69"/>
    <w:rsid w:val="00720D0D"/>
    <w:rsid w:val="0072116F"/>
    <w:rsid w:val="00721BDB"/>
    <w:rsid w:val="00721EE2"/>
    <w:rsid w:val="0072209D"/>
    <w:rsid w:val="007220A4"/>
    <w:rsid w:val="007221E1"/>
    <w:rsid w:val="00723249"/>
    <w:rsid w:val="00723400"/>
    <w:rsid w:val="007234E2"/>
    <w:rsid w:val="00723585"/>
    <w:rsid w:val="00724C78"/>
    <w:rsid w:val="00724CCF"/>
    <w:rsid w:val="00726808"/>
    <w:rsid w:val="00726BDE"/>
    <w:rsid w:val="00727221"/>
    <w:rsid w:val="0072766D"/>
    <w:rsid w:val="007305C4"/>
    <w:rsid w:val="00730B38"/>
    <w:rsid w:val="007312C0"/>
    <w:rsid w:val="007315A6"/>
    <w:rsid w:val="007317E5"/>
    <w:rsid w:val="00731951"/>
    <w:rsid w:val="00731986"/>
    <w:rsid w:val="00731FE4"/>
    <w:rsid w:val="00732C5D"/>
    <w:rsid w:val="00733AB2"/>
    <w:rsid w:val="00734EAB"/>
    <w:rsid w:val="00735687"/>
    <w:rsid w:val="00735ADA"/>
    <w:rsid w:val="00736656"/>
    <w:rsid w:val="007371B0"/>
    <w:rsid w:val="007375DC"/>
    <w:rsid w:val="00737C1F"/>
    <w:rsid w:val="007405F3"/>
    <w:rsid w:val="00740B45"/>
    <w:rsid w:val="00740BFC"/>
    <w:rsid w:val="00741AB5"/>
    <w:rsid w:val="007424F1"/>
    <w:rsid w:val="00742F8C"/>
    <w:rsid w:val="00743335"/>
    <w:rsid w:val="00743A4D"/>
    <w:rsid w:val="00746527"/>
    <w:rsid w:val="00746B7B"/>
    <w:rsid w:val="007478C7"/>
    <w:rsid w:val="0075020A"/>
    <w:rsid w:val="007509A0"/>
    <w:rsid w:val="00750C99"/>
    <w:rsid w:val="00750DE0"/>
    <w:rsid w:val="00752789"/>
    <w:rsid w:val="00752F13"/>
    <w:rsid w:val="00753738"/>
    <w:rsid w:val="00753E8B"/>
    <w:rsid w:val="0075531D"/>
    <w:rsid w:val="00755A51"/>
    <w:rsid w:val="00755DFC"/>
    <w:rsid w:val="007568A2"/>
    <w:rsid w:val="00756EF4"/>
    <w:rsid w:val="007609EA"/>
    <w:rsid w:val="00760D85"/>
    <w:rsid w:val="007613E7"/>
    <w:rsid w:val="00761AF4"/>
    <w:rsid w:val="00762B14"/>
    <w:rsid w:val="00762EAB"/>
    <w:rsid w:val="0076458E"/>
    <w:rsid w:val="00764868"/>
    <w:rsid w:val="0076498D"/>
    <w:rsid w:val="00764BCB"/>
    <w:rsid w:val="0076500F"/>
    <w:rsid w:val="007656D1"/>
    <w:rsid w:val="00767541"/>
    <w:rsid w:val="0076762B"/>
    <w:rsid w:val="007711B4"/>
    <w:rsid w:val="00774E13"/>
    <w:rsid w:val="007754D0"/>
    <w:rsid w:val="00775774"/>
    <w:rsid w:val="00775947"/>
    <w:rsid w:val="00776534"/>
    <w:rsid w:val="007769A2"/>
    <w:rsid w:val="007771D7"/>
    <w:rsid w:val="00780D40"/>
    <w:rsid w:val="00781782"/>
    <w:rsid w:val="0078282B"/>
    <w:rsid w:val="007828B5"/>
    <w:rsid w:val="00782BCD"/>
    <w:rsid w:val="007835BC"/>
    <w:rsid w:val="00783629"/>
    <w:rsid w:val="007839A3"/>
    <w:rsid w:val="00784B65"/>
    <w:rsid w:val="00784FBB"/>
    <w:rsid w:val="007862C7"/>
    <w:rsid w:val="0078637C"/>
    <w:rsid w:val="00786604"/>
    <w:rsid w:val="00786FDB"/>
    <w:rsid w:val="00787FAC"/>
    <w:rsid w:val="00787FB9"/>
    <w:rsid w:val="007902C6"/>
    <w:rsid w:val="00790B21"/>
    <w:rsid w:val="00790D8B"/>
    <w:rsid w:val="007918FC"/>
    <w:rsid w:val="00792440"/>
    <w:rsid w:val="0079441A"/>
    <w:rsid w:val="007949AD"/>
    <w:rsid w:val="00794BC3"/>
    <w:rsid w:val="00794E55"/>
    <w:rsid w:val="00795AB0"/>
    <w:rsid w:val="0079749B"/>
    <w:rsid w:val="007979CF"/>
    <w:rsid w:val="00797A03"/>
    <w:rsid w:val="007A0065"/>
    <w:rsid w:val="007A047F"/>
    <w:rsid w:val="007A063C"/>
    <w:rsid w:val="007A18E0"/>
    <w:rsid w:val="007A3527"/>
    <w:rsid w:val="007A356A"/>
    <w:rsid w:val="007A3AC5"/>
    <w:rsid w:val="007A4BD4"/>
    <w:rsid w:val="007A5B2D"/>
    <w:rsid w:val="007A7B07"/>
    <w:rsid w:val="007B02B6"/>
    <w:rsid w:val="007B0AEF"/>
    <w:rsid w:val="007B1E7C"/>
    <w:rsid w:val="007B32CC"/>
    <w:rsid w:val="007B33B0"/>
    <w:rsid w:val="007B340B"/>
    <w:rsid w:val="007B3DB9"/>
    <w:rsid w:val="007B72AE"/>
    <w:rsid w:val="007C004E"/>
    <w:rsid w:val="007C0147"/>
    <w:rsid w:val="007C207F"/>
    <w:rsid w:val="007C28CE"/>
    <w:rsid w:val="007C4794"/>
    <w:rsid w:val="007C59A4"/>
    <w:rsid w:val="007C5E2E"/>
    <w:rsid w:val="007C5FCD"/>
    <w:rsid w:val="007C6BBA"/>
    <w:rsid w:val="007C6E03"/>
    <w:rsid w:val="007C7CF5"/>
    <w:rsid w:val="007D08DC"/>
    <w:rsid w:val="007D0E36"/>
    <w:rsid w:val="007D32E9"/>
    <w:rsid w:val="007D46F7"/>
    <w:rsid w:val="007D47B3"/>
    <w:rsid w:val="007D5997"/>
    <w:rsid w:val="007D6165"/>
    <w:rsid w:val="007D6E51"/>
    <w:rsid w:val="007D75FB"/>
    <w:rsid w:val="007D76D6"/>
    <w:rsid w:val="007D79D6"/>
    <w:rsid w:val="007D7CFF"/>
    <w:rsid w:val="007D7DF0"/>
    <w:rsid w:val="007E01E2"/>
    <w:rsid w:val="007E04E9"/>
    <w:rsid w:val="007E067D"/>
    <w:rsid w:val="007E06BF"/>
    <w:rsid w:val="007E1BF1"/>
    <w:rsid w:val="007E221C"/>
    <w:rsid w:val="007E2B16"/>
    <w:rsid w:val="007E2C09"/>
    <w:rsid w:val="007E2EC9"/>
    <w:rsid w:val="007E374C"/>
    <w:rsid w:val="007F14C9"/>
    <w:rsid w:val="007F1858"/>
    <w:rsid w:val="007F1A55"/>
    <w:rsid w:val="007F1E96"/>
    <w:rsid w:val="007F351F"/>
    <w:rsid w:val="007F382A"/>
    <w:rsid w:val="007F4FF3"/>
    <w:rsid w:val="007F5771"/>
    <w:rsid w:val="007F585A"/>
    <w:rsid w:val="007F5FDE"/>
    <w:rsid w:val="007F6601"/>
    <w:rsid w:val="007F6B10"/>
    <w:rsid w:val="007F6D23"/>
    <w:rsid w:val="007F71A9"/>
    <w:rsid w:val="007F73F9"/>
    <w:rsid w:val="007F76C6"/>
    <w:rsid w:val="007F780C"/>
    <w:rsid w:val="007F7BCC"/>
    <w:rsid w:val="008000A1"/>
    <w:rsid w:val="0080014A"/>
    <w:rsid w:val="0080020A"/>
    <w:rsid w:val="008003CC"/>
    <w:rsid w:val="00800553"/>
    <w:rsid w:val="00800E42"/>
    <w:rsid w:val="0080103F"/>
    <w:rsid w:val="00801372"/>
    <w:rsid w:val="0080166B"/>
    <w:rsid w:val="00802E15"/>
    <w:rsid w:val="008035C2"/>
    <w:rsid w:val="00803B8F"/>
    <w:rsid w:val="00803FA6"/>
    <w:rsid w:val="00805541"/>
    <w:rsid w:val="008062B8"/>
    <w:rsid w:val="008065E7"/>
    <w:rsid w:val="0081052C"/>
    <w:rsid w:val="00810C4D"/>
    <w:rsid w:val="00810E82"/>
    <w:rsid w:val="00813728"/>
    <w:rsid w:val="008137AE"/>
    <w:rsid w:val="00814351"/>
    <w:rsid w:val="00814A67"/>
    <w:rsid w:val="0081524A"/>
    <w:rsid w:val="008156CF"/>
    <w:rsid w:val="0081583A"/>
    <w:rsid w:val="0081650F"/>
    <w:rsid w:val="00816AC0"/>
    <w:rsid w:val="0082020C"/>
    <w:rsid w:val="00820684"/>
    <w:rsid w:val="00820B6F"/>
    <w:rsid w:val="00822798"/>
    <w:rsid w:val="0082296B"/>
    <w:rsid w:val="00822E20"/>
    <w:rsid w:val="0082308F"/>
    <w:rsid w:val="00824FF7"/>
    <w:rsid w:val="00825809"/>
    <w:rsid w:val="00826A6B"/>
    <w:rsid w:val="00826EC7"/>
    <w:rsid w:val="008271C2"/>
    <w:rsid w:val="008300E9"/>
    <w:rsid w:val="00830787"/>
    <w:rsid w:val="00830FEB"/>
    <w:rsid w:val="008311F1"/>
    <w:rsid w:val="00831686"/>
    <w:rsid w:val="00831849"/>
    <w:rsid w:val="0083224F"/>
    <w:rsid w:val="00832C72"/>
    <w:rsid w:val="00833425"/>
    <w:rsid w:val="0083400B"/>
    <w:rsid w:val="008349CF"/>
    <w:rsid w:val="00835B38"/>
    <w:rsid w:val="008360A3"/>
    <w:rsid w:val="00837428"/>
    <w:rsid w:val="00837814"/>
    <w:rsid w:val="00841435"/>
    <w:rsid w:val="008416E0"/>
    <w:rsid w:val="00841E84"/>
    <w:rsid w:val="00843156"/>
    <w:rsid w:val="00843648"/>
    <w:rsid w:val="00843A92"/>
    <w:rsid w:val="00844616"/>
    <w:rsid w:val="00844E63"/>
    <w:rsid w:val="00846752"/>
    <w:rsid w:val="00846DDE"/>
    <w:rsid w:val="00847908"/>
    <w:rsid w:val="0085091B"/>
    <w:rsid w:val="00850987"/>
    <w:rsid w:val="00850B79"/>
    <w:rsid w:val="00850F13"/>
    <w:rsid w:val="00851B7A"/>
    <w:rsid w:val="00852056"/>
    <w:rsid w:val="008526FB"/>
    <w:rsid w:val="00852A00"/>
    <w:rsid w:val="00852C69"/>
    <w:rsid w:val="00857868"/>
    <w:rsid w:val="0086026C"/>
    <w:rsid w:val="00860A28"/>
    <w:rsid w:val="008611D9"/>
    <w:rsid w:val="00861950"/>
    <w:rsid w:val="00861CD9"/>
    <w:rsid w:val="00862A1D"/>
    <w:rsid w:val="00862AB4"/>
    <w:rsid w:val="00864141"/>
    <w:rsid w:val="008641D6"/>
    <w:rsid w:val="00865242"/>
    <w:rsid w:val="0086547F"/>
    <w:rsid w:val="00866800"/>
    <w:rsid w:val="008675AF"/>
    <w:rsid w:val="00867874"/>
    <w:rsid w:val="00867ACB"/>
    <w:rsid w:val="00870EE6"/>
    <w:rsid w:val="008718B3"/>
    <w:rsid w:val="00871CE7"/>
    <w:rsid w:val="00873823"/>
    <w:rsid w:val="00873DCD"/>
    <w:rsid w:val="008748A5"/>
    <w:rsid w:val="00874905"/>
    <w:rsid w:val="00874DF5"/>
    <w:rsid w:val="00880ACD"/>
    <w:rsid w:val="00880B27"/>
    <w:rsid w:val="00881A71"/>
    <w:rsid w:val="00881D15"/>
    <w:rsid w:val="0088373C"/>
    <w:rsid w:val="00884C77"/>
    <w:rsid w:val="0088593B"/>
    <w:rsid w:val="00885B08"/>
    <w:rsid w:val="00885F3D"/>
    <w:rsid w:val="00886189"/>
    <w:rsid w:val="00886221"/>
    <w:rsid w:val="0088646E"/>
    <w:rsid w:val="008869FA"/>
    <w:rsid w:val="008914E8"/>
    <w:rsid w:val="008919E2"/>
    <w:rsid w:val="00891BA4"/>
    <w:rsid w:val="00891E68"/>
    <w:rsid w:val="00893199"/>
    <w:rsid w:val="0089348F"/>
    <w:rsid w:val="00894366"/>
    <w:rsid w:val="0089445B"/>
    <w:rsid w:val="008944CF"/>
    <w:rsid w:val="00895480"/>
    <w:rsid w:val="00895C39"/>
    <w:rsid w:val="00896B91"/>
    <w:rsid w:val="00896F76"/>
    <w:rsid w:val="008971D3"/>
    <w:rsid w:val="008A0CDB"/>
    <w:rsid w:val="008A2643"/>
    <w:rsid w:val="008A30C3"/>
    <w:rsid w:val="008A39CD"/>
    <w:rsid w:val="008A41F9"/>
    <w:rsid w:val="008A4302"/>
    <w:rsid w:val="008A51B2"/>
    <w:rsid w:val="008A5FEE"/>
    <w:rsid w:val="008A6CFC"/>
    <w:rsid w:val="008A7955"/>
    <w:rsid w:val="008A7F75"/>
    <w:rsid w:val="008B0D54"/>
    <w:rsid w:val="008B126F"/>
    <w:rsid w:val="008B12B6"/>
    <w:rsid w:val="008B143C"/>
    <w:rsid w:val="008B1B58"/>
    <w:rsid w:val="008B2668"/>
    <w:rsid w:val="008B2F8D"/>
    <w:rsid w:val="008B5225"/>
    <w:rsid w:val="008B5C34"/>
    <w:rsid w:val="008B66A4"/>
    <w:rsid w:val="008B7568"/>
    <w:rsid w:val="008B7AC6"/>
    <w:rsid w:val="008C0318"/>
    <w:rsid w:val="008C13F7"/>
    <w:rsid w:val="008C2350"/>
    <w:rsid w:val="008C5671"/>
    <w:rsid w:val="008C5A50"/>
    <w:rsid w:val="008C6792"/>
    <w:rsid w:val="008C6885"/>
    <w:rsid w:val="008C69D1"/>
    <w:rsid w:val="008C7DB3"/>
    <w:rsid w:val="008D0AE5"/>
    <w:rsid w:val="008D1BF9"/>
    <w:rsid w:val="008D2D25"/>
    <w:rsid w:val="008D2DC8"/>
    <w:rsid w:val="008D42E1"/>
    <w:rsid w:val="008D4837"/>
    <w:rsid w:val="008D5274"/>
    <w:rsid w:val="008D55BF"/>
    <w:rsid w:val="008D5903"/>
    <w:rsid w:val="008D6323"/>
    <w:rsid w:val="008D6D7D"/>
    <w:rsid w:val="008D6DF3"/>
    <w:rsid w:val="008D7367"/>
    <w:rsid w:val="008E08A6"/>
    <w:rsid w:val="008E08B1"/>
    <w:rsid w:val="008E0933"/>
    <w:rsid w:val="008E226C"/>
    <w:rsid w:val="008E255E"/>
    <w:rsid w:val="008E42C6"/>
    <w:rsid w:val="008E4E7E"/>
    <w:rsid w:val="008E547E"/>
    <w:rsid w:val="008E74B7"/>
    <w:rsid w:val="008F11A2"/>
    <w:rsid w:val="008F169E"/>
    <w:rsid w:val="008F1BDA"/>
    <w:rsid w:val="008F2C43"/>
    <w:rsid w:val="008F377E"/>
    <w:rsid w:val="008F4164"/>
    <w:rsid w:val="008F5779"/>
    <w:rsid w:val="008F5C18"/>
    <w:rsid w:val="008F5DC8"/>
    <w:rsid w:val="008F68F2"/>
    <w:rsid w:val="008F78B7"/>
    <w:rsid w:val="008F7A8D"/>
    <w:rsid w:val="008F7DA3"/>
    <w:rsid w:val="008F7DF4"/>
    <w:rsid w:val="0090104D"/>
    <w:rsid w:val="009015DB"/>
    <w:rsid w:val="00901BD7"/>
    <w:rsid w:val="00902264"/>
    <w:rsid w:val="00902976"/>
    <w:rsid w:val="00903BE5"/>
    <w:rsid w:val="009042C9"/>
    <w:rsid w:val="009049B5"/>
    <w:rsid w:val="009049F4"/>
    <w:rsid w:val="0090620F"/>
    <w:rsid w:val="00907391"/>
    <w:rsid w:val="00907BD4"/>
    <w:rsid w:val="00907CDA"/>
    <w:rsid w:val="00910142"/>
    <w:rsid w:val="0091247B"/>
    <w:rsid w:val="0091256C"/>
    <w:rsid w:val="009127E7"/>
    <w:rsid w:val="009129EC"/>
    <w:rsid w:val="00912B20"/>
    <w:rsid w:val="00912CBB"/>
    <w:rsid w:val="0091527D"/>
    <w:rsid w:val="009159E6"/>
    <w:rsid w:val="00916979"/>
    <w:rsid w:val="00916B98"/>
    <w:rsid w:val="0091795C"/>
    <w:rsid w:val="00917B67"/>
    <w:rsid w:val="00917D6B"/>
    <w:rsid w:val="009224EE"/>
    <w:rsid w:val="0092430D"/>
    <w:rsid w:val="0092478C"/>
    <w:rsid w:val="00925D51"/>
    <w:rsid w:val="00925F1B"/>
    <w:rsid w:val="00926DEC"/>
    <w:rsid w:val="00927F0F"/>
    <w:rsid w:val="009300BE"/>
    <w:rsid w:val="00930CD9"/>
    <w:rsid w:val="00931042"/>
    <w:rsid w:val="00931753"/>
    <w:rsid w:val="009330DE"/>
    <w:rsid w:val="00933149"/>
    <w:rsid w:val="00933734"/>
    <w:rsid w:val="009338BF"/>
    <w:rsid w:val="00933FD2"/>
    <w:rsid w:val="00935488"/>
    <w:rsid w:val="0093668A"/>
    <w:rsid w:val="00937087"/>
    <w:rsid w:val="00937689"/>
    <w:rsid w:val="0094107B"/>
    <w:rsid w:val="00942044"/>
    <w:rsid w:val="009428A5"/>
    <w:rsid w:val="00942C75"/>
    <w:rsid w:val="00943962"/>
    <w:rsid w:val="00945027"/>
    <w:rsid w:val="0094548E"/>
    <w:rsid w:val="00945765"/>
    <w:rsid w:val="00945AD8"/>
    <w:rsid w:val="009468A9"/>
    <w:rsid w:val="00947155"/>
    <w:rsid w:val="0094766A"/>
    <w:rsid w:val="00950D2A"/>
    <w:rsid w:val="00950E92"/>
    <w:rsid w:val="00951FF6"/>
    <w:rsid w:val="00952743"/>
    <w:rsid w:val="00952C95"/>
    <w:rsid w:val="00952EA8"/>
    <w:rsid w:val="009546A2"/>
    <w:rsid w:val="009546E4"/>
    <w:rsid w:val="00954D4A"/>
    <w:rsid w:val="00955B7F"/>
    <w:rsid w:val="009565A3"/>
    <w:rsid w:val="009571B8"/>
    <w:rsid w:val="009579E4"/>
    <w:rsid w:val="00960A5C"/>
    <w:rsid w:val="0096122D"/>
    <w:rsid w:val="009617E7"/>
    <w:rsid w:val="00961BE8"/>
    <w:rsid w:val="00962153"/>
    <w:rsid w:val="00962171"/>
    <w:rsid w:val="0096296F"/>
    <w:rsid w:val="00962998"/>
    <w:rsid w:val="00962B7C"/>
    <w:rsid w:val="00963AC6"/>
    <w:rsid w:val="00963C01"/>
    <w:rsid w:val="009646ED"/>
    <w:rsid w:val="00964795"/>
    <w:rsid w:val="009647E6"/>
    <w:rsid w:val="00964954"/>
    <w:rsid w:val="00965FE7"/>
    <w:rsid w:val="009671F5"/>
    <w:rsid w:val="00967746"/>
    <w:rsid w:val="009709BC"/>
    <w:rsid w:val="00970D2A"/>
    <w:rsid w:val="00970F8C"/>
    <w:rsid w:val="00971005"/>
    <w:rsid w:val="0097223B"/>
    <w:rsid w:val="009727FF"/>
    <w:rsid w:val="00972ED1"/>
    <w:rsid w:val="0097410F"/>
    <w:rsid w:val="0097425B"/>
    <w:rsid w:val="00974540"/>
    <w:rsid w:val="00974FF5"/>
    <w:rsid w:val="0097568C"/>
    <w:rsid w:val="00976EF6"/>
    <w:rsid w:val="00977422"/>
    <w:rsid w:val="00980BCE"/>
    <w:rsid w:val="00980ED7"/>
    <w:rsid w:val="009810B4"/>
    <w:rsid w:val="009812EE"/>
    <w:rsid w:val="00981676"/>
    <w:rsid w:val="009818AD"/>
    <w:rsid w:val="00983320"/>
    <w:rsid w:val="00983805"/>
    <w:rsid w:val="0098402E"/>
    <w:rsid w:val="009847C1"/>
    <w:rsid w:val="009852F0"/>
    <w:rsid w:val="00985863"/>
    <w:rsid w:val="0099012A"/>
    <w:rsid w:val="00990144"/>
    <w:rsid w:val="009902EE"/>
    <w:rsid w:val="00990DD9"/>
    <w:rsid w:val="00991C01"/>
    <w:rsid w:val="00992065"/>
    <w:rsid w:val="0099239B"/>
    <w:rsid w:val="00992519"/>
    <w:rsid w:val="009926F5"/>
    <w:rsid w:val="0099350B"/>
    <w:rsid w:val="00993652"/>
    <w:rsid w:val="009939E9"/>
    <w:rsid w:val="0099493A"/>
    <w:rsid w:val="00995FAF"/>
    <w:rsid w:val="009963AD"/>
    <w:rsid w:val="009964EB"/>
    <w:rsid w:val="009973F5"/>
    <w:rsid w:val="00997E51"/>
    <w:rsid w:val="009A020F"/>
    <w:rsid w:val="009A0255"/>
    <w:rsid w:val="009A1199"/>
    <w:rsid w:val="009A1F3C"/>
    <w:rsid w:val="009A20EA"/>
    <w:rsid w:val="009A2DA9"/>
    <w:rsid w:val="009A35F4"/>
    <w:rsid w:val="009A38BF"/>
    <w:rsid w:val="009A40DA"/>
    <w:rsid w:val="009A4A6D"/>
    <w:rsid w:val="009A4B75"/>
    <w:rsid w:val="009A5C65"/>
    <w:rsid w:val="009A5D15"/>
    <w:rsid w:val="009A6238"/>
    <w:rsid w:val="009A7171"/>
    <w:rsid w:val="009B034D"/>
    <w:rsid w:val="009B08CE"/>
    <w:rsid w:val="009B1195"/>
    <w:rsid w:val="009B19B8"/>
    <w:rsid w:val="009B284A"/>
    <w:rsid w:val="009B291F"/>
    <w:rsid w:val="009B2E8F"/>
    <w:rsid w:val="009B39EF"/>
    <w:rsid w:val="009B3CF9"/>
    <w:rsid w:val="009B44A5"/>
    <w:rsid w:val="009B4919"/>
    <w:rsid w:val="009B5515"/>
    <w:rsid w:val="009B6A4D"/>
    <w:rsid w:val="009B6C62"/>
    <w:rsid w:val="009B7A53"/>
    <w:rsid w:val="009C0E24"/>
    <w:rsid w:val="009C1398"/>
    <w:rsid w:val="009C14F4"/>
    <w:rsid w:val="009C1984"/>
    <w:rsid w:val="009C1B32"/>
    <w:rsid w:val="009C1B61"/>
    <w:rsid w:val="009C3168"/>
    <w:rsid w:val="009C3555"/>
    <w:rsid w:val="009C4D5B"/>
    <w:rsid w:val="009C6C6D"/>
    <w:rsid w:val="009C784F"/>
    <w:rsid w:val="009D06F3"/>
    <w:rsid w:val="009D0A10"/>
    <w:rsid w:val="009D0D62"/>
    <w:rsid w:val="009D0DF4"/>
    <w:rsid w:val="009D1187"/>
    <w:rsid w:val="009D1BD9"/>
    <w:rsid w:val="009D2478"/>
    <w:rsid w:val="009D2D6A"/>
    <w:rsid w:val="009D38C1"/>
    <w:rsid w:val="009D3E29"/>
    <w:rsid w:val="009D5200"/>
    <w:rsid w:val="009D54B6"/>
    <w:rsid w:val="009D5B16"/>
    <w:rsid w:val="009D62CF"/>
    <w:rsid w:val="009D6C7E"/>
    <w:rsid w:val="009D6E2B"/>
    <w:rsid w:val="009D6E45"/>
    <w:rsid w:val="009D765A"/>
    <w:rsid w:val="009D78BB"/>
    <w:rsid w:val="009D79C6"/>
    <w:rsid w:val="009D7CF3"/>
    <w:rsid w:val="009E01A6"/>
    <w:rsid w:val="009E0423"/>
    <w:rsid w:val="009E04AF"/>
    <w:rsid w:val="009E1787"/>
    <w:rsid w:val="009E29D2"/>
    <w:rsid w:val="009E343B"/>
    <w:rsid w:val="009E3ACB"/>
    <w:rsid w:val="009E3EE6"/>
    <w:rsid w:val="009E4066"/>
    <w:rsid w:val="009E4474"/>
    <w:rsid w:val="009E451C"/>
    <w:rsid w:val="009E5339"/>
    <w:rsid w:val="009E5941"/>
    <w:rsid w:val="009F0EB5"/>
    <w:rsid w:val="009F0FD0"/>
    <w:rsid w:val="009F0FFD"/>
    <w:rsid w:val="009F18AC"/>
    <w:rsid w:val="009F266C"/>
    <w:rsid w:val="009F3A99"/>
    <w:rsid w:val="009F413A"/>
    <w:rsid w:val="009F4416"/>
    <w:rsid w:val="009F475A"/>
    <w:rsid w:val="009F4C6A"/>
    <w:rsid w:val="009F5728"/>
    <w:rsid w:val="009F6225"/>
    <w:rsid w:val="009F75F7"/>
    <w:rsid w:val="00A00163"/>
    <w:rsid w:val="00A00B54"/>
    <w:rsid w:val="00A01FAC"/>
    <w:rsid w:val="00A0302A"/>
    <w:rsid w:val="00A04FB7"/>
    <w:rsid w:val="00A0563C"/>
    <w:rsid w:val="00A068F1"/>
    <w:rsid w:val="00A06B91"/>
    <w:rsid w:val="00A06DF7"/>
    <w:rsid w:val="00A07028"/>
    <w:rsid w:val="00A104CC"/>
    <w:rsid w:val="00A11324"/>
    <w:rsid w:val="00A11D1B"/>
    <w:rsid w:val="00A1201B"/>
    <w:rsid w:val="00A12C70"/>
    <w:rsid w:val="00A12E83"/>
    <w:rsid w:val="00A15796"/>
    <w:rsid w:val="00A159A9"/>
    <w:rsid w:val="00A16453"/>
    <w:rsid w:val="00A17ECD"/>
    <w:rsid w:val="00A20151"/>
    <w:rsid w:val="00A2109E"/>
    <w:rsid w:val="00A211DC"/>
    <w:rsid w:val="00A21DD6"/>
    <w:rsid w:val="00A2374D"/>
    <w:rsid w:val="00A23D83"/>
    <w:rsid w:val="00A23E6C"/>
    <w:rsid w:val="00A244F9"/>
    <w:rsid w:val="00A25728"/>
    <w:rsid w:val="00A262F9"/>
    <w:rsid w:val="00A3121A"/>
    <w:rsid w:val="00A31AD1"/>
    <w:rsid w:val="00A32079"/>
    <w:rsid w:val="00A323F9"/>
    <w:rsid w:val="00A32BD7"/>
    <w:rsid w:val="00A33E33"/>
    <w:rsid w:val="00A35FB3"/>
    <w:rsid w:val="00A36EFB"/>
    <w:rsid w:val="00A376C8"/>
    <w:rsid w:val="00A37784"/>
    <w:rsid w:val="00A37A56"/>
    <w:rsid w:val="00A40019"/>
    <w:rsid w:val="00A40D7E"/>
    <w:rsid w:val="00A41414"/>
    <w:rsid w:val="00A41E05"/>
    <w:rsid w:val="00A42048"/>
    <w:rsid w:val="00A43D85"/>
    <w:rsid w:val="00A44BE6"/>
    <w:rsid w:val="00A44C7C"/>
    <w:rsid w:val="00A45380"/>
    <w:rsid w:val="00A454ED"/>
    <w:rsid w:val="00A4589E"/>
    <w:rsid w:val="00A45E06"/>
    <w:rsid w:val="00A45E61"/>
    <w:rsid w:val="00A46CC0"/>
    <w:rsid w:val="00A47141"/>
    <w:rsid w:val="00A5033C"/>
    <w:rsid w:val="00A50A87"/>
    <w:rsid w:val="00A51199"/>
    <w:rsid w:val="00A51A95"/>
    <w:rsid w:val="00A53311"/>
    <w:rsid w:val="00A53AEB"/>
    <w:rsid w:val="00A5416A"/>
    <w:rsid w:val="00A542ED"/>
    <w:rsid w:val="00A549F3"/>
    <w:rsid w:val="00A55984"/>
    <w:rsid w:val="00A5633D"/>
    <w:rsid w:val="00A56583"/>
    <w:rsid w:val="00A57A50"/>
    <w:rsid w:val="00A60F43"/>
    <w:rsid w:val="00A61930"/>
    <w:rsid w:val="00A62855"/>
    <w:rsid w:val="00A62BE2"/>
    <w:rsid w:val="00A63526"/>
    <w:rsid w:val="00A63774"/>
    <w:rsid w:val="00A63E04"/>
    <w:rsid w:val="00A64ED5"/>
    <w:rsid w:val="00A65590"/>
    <w:rsid w:val="00A6562A"/>
    <w:rsid w:val="00A656D3"/>
    <w:rsid w:val="00A666A6"/>
    <w:rsid w:val="00A674A4"/>
    <w:rsid w:val="00A6751E"/>
    <w:rsid w:val="00A67555"/>
    <w:rsid w:val="00A70B4C"/>
    <w:rsid w:val="00A71072"/>
    <w:rsid w:val="00A721B4"/>
    <w:rsid w:val="00A72BAE"/>
    <w:rsid w:val="00A73085"/>
    <w:rsid w:val="00A734CF"/>
    <w:rsid w:val="00A73E61"/>
    <w:rsid w:val="00A740CD"/>
    <w:rsid w:val="00A742E1"/>
    <w:rsid w:val="00A75D32"/>
    <w:rsid w:val="00A76867"/>
    <w:rsid w:val="00A76DC9"/>
    <w:rsid w:val="00A77D47"/>
    <w:rsid w:val="00A77DE6"/>
    <w:rsid w:val="00A8113F"/>
    <w:rsid w:val="00A815AF"/>
    <w:rsid w:val="00A816B8"/>
    <w:rsid w:val="00A82C8D"/>
    <w:rsid w:val="00A82F7D"/>
    <w:rsid w:val="00A8443D"/>
    <w:rsid w:val="00A84A85"/>
    <w:rsid w:val="00A8530C"/>
    <w:rsid w:val="00A878F9"/>
    <w:rsid w:val="00A87DFD"/>
    <w:rsid w:val="00A90AE5"/>
    <w:rsid w:val="00A90CCE"/>
    <w:rsid w:val="00A90DAA"/>
    <w:rsid w:val="00A9333D"/>
    <w:rsid w:val="00A93DDE"/>
    <w:rsid w:val="00A9425C"/>
    <w:rsid w:val="00A96056"/>
    <w:rsid w:val="00A9637A"/>
    <w:rsid w:val="00A977B3"/>
    <w:rsid w:val="00A97B04"/>
    <w:rsid w:val="00AA04B2"/>
    <w:rsid w:val="00AA09BF"/>
    <w:rsid w:val="00AA2EA3"/>
    <w:rsid w:val="00AA3922"/>
    <w:rsid w:val="00AA4C9F"/>
    <w:rsid w:val="00AA4F7B"/>
    <w:rsid w:val="00AA508E"/>
    <w:rsid w:val="00AA693B"/>
    <w:rsid w:val="00AB03AA"/>
    <w:rsid w:val="00AB2A4C"/>
    <w:rsid w:val="00AB2C1C"/>
    <w:rsid w:val="00AB3088"/>
    <w:rsid w:val="00AB3A42"/>
    <w:rsid w:val="00AB4DBC"/>
    <w:rsid w:val="00AB56B9"/>
    <w:rsid w:val="00AB621B"/>
    <w:rsid w:val="00AB7E1A"/>
    <w:rsid w:val="00AC0030"/>
    <w:rsid w:val="00AC0F72"/>
    <w:rsid w:val="00AC149B"/>
    <w:rsid w:val="00AC1A88"/>
    <w:rsid w:val="00AC229D"/>
    <w:rsid w:val="00AC22B3"/>
    <w:rsid w:val="00AC276D"/>
    <w:rsid w:val="00AC2B17"/>
    <w:rsid w:val="00AC2E95"/>
    <w:rsid w:val="00AC2EFF"/>
    <w:rsid w:val="00AC3439"/>
    <w:rsid w:val="00AC34A4"/>
    <w:rsid w:val="00AC4087"/>
    <w:rsid w:val="00AC49B9"/>
    <w:rsid w:val="00AC4A3D"/>
    <w:rsid w:val="00AC5AB0"/>
    <w:rsid w:val="00AC5CE8"/>
    <w:rsid w:val="00AC6093"/>
    <w:rsid w:val="00AC6C4E"/>
    <w:rsid w:val="00AC7068"/>
    <w:rsid w:val="00AC723D"/>
    <w:rsid w:val="00AD0A14"/>
    <w:rsid w:val="00AD0CFE"/>
    <w:rsid w:val="00AD0F32"/>
    <w:rsid w:val="00AD14D4"/>
    <w:rsid w:val="00AD2238"/>
    <w:rsid w:val="00AD3611"/>
    <w:rsid w:val="00AD36AD"/>
    <w:rsid w:val="00AD5BFE"/>
    <w:rsid w:val="00AD5C32"/>
    <w:rsid w:val="00AD65FF"/>
    <w:rsid w:val="00AD698D"/>
    <w:rsid w:val="00AE0A3A"/>
    <w:rsid w:val="00AE1B05"/>
    <w:rsid w:val="00AE1DD6"/>
    <w:rsid w:val="00AE2D15"/>
    <w:rsid w:val="00AE2EFD"/>
    <w:rsid w:val="00AE7B33"/>
    <w:rsid w:val="00AF0B43"/>
    <w:rsid w:val="00AF17A2"/>
    <w:rsid w:val="00AF3CA3"/>
    <w:rsid w:val="00AF3CE0"/>
    <w:rsid w:val="00AF3F32"/>
    <w:rsid w:val="00AF4443"/>
    <w:rsid w:val="00AF47B2"/>
    <w:rsid w:val="00AF54C3"/>
    <w:rsid w:val="00AF5532"/>
    <w:rsid w:val="00AF56AD"/>
    <w:rsid w:val="00AF68E8"/>
    <w:rsid w:val="00AF706E"/>
    <w:rsid w:val="00B01B96"/>
    <w:rsid w:val="00B02CDB"/>
    <w:rsid w:val="00B02F07"/>
    <w:rsid w:val="00B0336E"/>
    <w:rsid w:val="00B03F3E"/>
    <w:rsid w:val="00B04139"/>
    <w:rsid w:val="00B04A56"/>
    <w:rsid w:val="00B05BA0"/>
    <w:rsid w:val="00B05BDE"/>
    <w:rsid w:val="00B05D61"/>
    <w:rsid w:val="00B0613F"/>
    <w:rsid w:val="00B062D3"/>
    <w:rsid w:val="00B0675A"/>
    <w:rsid w:val="00B07AF7"/>
    <w:rsid w:val="00B101E4"/>
    <w:rsid w:val="00B10272"/>
    <w:rsid w:val="00B111AE"/>
    <w:rsid w:val="00B135A1"/>
    <w:rsid w:val="00B139CC"/>
    <w:rsid w:val="00B13F57"/>
    <w:rsid w:val="00B15290"/>
    <w:rsid w:val="00B1549A"/>
    <w:rsid w:val="00B15E96"/>
    <w:rsid w:val="00B169A6"/>
    <w:rsid w:val="00B171FD"/>
    <w:rsid w:val="00B1767D"/>
    <w:rsid w:val="00B21466"/>
    <w:rsid w:val="00B22342"/>
    <w:rsid w:val="00B23559"/>
    <w:rsid w:val="00B2412E"/>
    <w:rsid w:val="00B257C7"/>
    <w:rsid w:val="00B25AB2"/>
    <w:rsid w:val="00B25D86"/>
    <w:rsid w:val="00B26C60"/>
    <w:rsid w:val="00B2716E"/>
    <w:rsid w:val="00B27754"/>
    <w:rsid w:val="00B278C8"/>
    <w:rsid w:val="00B30067"/>
    <w:rsid w:val="00B300AA"/>
    <w:rsid w:val="00B300FD"/>
    <w:rsid w:val="00B30999"/>
    <w:rsid w:val="00B30BF3"/>
    <w:rsid w:val="00B31199"/>
    <w:rsid w:val="00B3171A"/>
    <w:rsid w:val="00B36DC4"/>
    <w:rsid w:val="00B37ABB"/>
    <w:rsid w:val="00B4008E"/>
    <w:rsid w:val="00B402E2"/>
    <w:rsid w:val="00B413D3"/>
    <w:rsid w:val="00B441C0"/>
    <w:rsid w:val="00B442DB"/>
    <w:rsid w:val="00B449F1"/>
    <w:rsid w:val="00B44CFC"/>
    <w:rsid w:val="00B4545C"/>
    <w:rsid w:val="00B45883"/>
    <w:rsid w:val="00B458F4"/>
    <w:rsid w:val="00B47155"/>
    <w:rsid w:val="00B501E5"/>
    <w:rsid w:val="00B5045E"/>
    <w:rsid w:val="00B515E7"/>
    <w:rsid w:val="00B5273E"/>
    <w:rsid w:val="00B52CA9"/>
    <w:rsid w:val="00B53173"/>
    <w:rsid w:val="00B53A1C"/>
    <w:rsid w:val="00B53C26"/>
    <w:rsid w:val="00B53D7E"/>
    <w:rsid w:val="00B54E99"/>
    <w:rsid w:val="00B55621"/>
    <w:rsid w:val="00B55A34"/>
    <w:rsid w:val="00B56AD5"/>
    <w:rsid w:val="00B605EB"/>
    <w:rsid w:val="00B60FFA"/>
    <w:rsid w:val="00B613D2"/>
    <w:rsid w:val="00B614F0"/>
    <w:rsid w:val="00B6190E"/>
    <w:rsid w:val="00B62166"/>
    <w:rsid w:val="00B621C2"/>
    <w:rsid w:val="00B629EA"/>
    <w:rsid w:val="00B62C3B"/>
    <w:rsid w:val="00B63203"/>
    <w:rsid w:val="00B6505B"/>
    <w:rsid w:val="00B658CC"/>
    <w:rsid w:val="00B66107"/>
    <w:rsid w:val="00B668CB"/>
    <w:rsid w:val="00B7101A"/>
    <w:rsid w:val="00B7248F"/>
    <w:rsid w:val="00B73709"/>
    <w:rsid w:val="00B73D0C"/>
    <w:rsid w:val="00B73F06"/>
    <w:rsid w:val="00B74759"/>
    <w:rsid w:val="00B7558A"/>
    <w:rsid w:val="00B758EB"/>
    <w:rsid w:val="00B7677D"/>
    <w:rsid w:val="00B771CF"/>
    <w:rsid w:val="00B77465"/>
    <w:rsid w:val="00B77925"/>
    <w:rsid w:val="00B77CAB"/>
    <w:rsid w:val="00B800FD"/>
    <w:rsid w:val="00B804DC"/>
    <w:rsid w:val="00B80D2E"/>
    <w:rsid w:val="00B81081"/>
    <w:rsid w:val="00B81AEF"/>
    <w:rsid w:val="00B81B86"/>
    <w:rsid w:val="00B81B8F"/>
    <w:rsid w:val="00B81BEA"/>
    <w:rsid w:val="00B82EB8"/>
    <w:rsid w:val="00B830F1"/>
    <w:rsid w:val="00B835EB"/>
    <w:rsid w:val="00B83641"/>
    <w:rsid w:val="00B85010"/>
    <w:rsid w:val="00B853E1"/>
    <w:rsid w:val="00B85E74"/>
    <w:rsid w:val="00B86210"/>
    <w:rsid w:val="00B86B3B"/>
    <w:rsid w:val="00B86DF5"/>
    <w:rsid w:val="00B87558"/>
    <w:rsid w:val="00B8760D"/>
    <w:rsid w:val="00B87C0F"/>
    <w:rsid w:val="00B87FAA"/>
    <w:rsid w:val="00B90C64"/>
    <w:rsid w:val="00B910C2"/>
    <w:rsid w:val="00B92D6B"/>
    <w:rsid w:val="00B959F5"/>
    <w:rsid w:val="00B97E37"/>
    <w:rsid w:val="00BA01DA"/>
    <w:rsid w:val="00BA0793"/>
    <w:rsid w:val="00BA385E"/>
    <w:rsid w:val="00BA420A"/>
    <w:rsid w:val="00BA57F9"/>
    <w:rsid w:val="00BA69C3"/>
    <w:rsid w:val="00BA700A"/>
    <w:rsid w:val="00BB1277"/>
    <w:rsid w:val="00BB14BB"/>
    <w:rsid w:val="00BB1856"/>
    <w:rsid w:val="00BB19E3"/>
    <w:rsid w:val="00BB2B06"/>
    <w:rsid w:val="00BB3169"/>
    <w:rsid w:val="00BB358D"/>
    <w:rsid w:val="00BB5BC5"/>
    <w:rsid w:val="00BB624C"/>
    <w:rsid w:val="00BB689A"/>
    <w:rsid w:val="00BB771A"/>
    <w:rsid w:val="00BC02D9"/>
    <w:rsid w:val="00BC0A20"/>
    <w:rsid w:val="00BC0E3B"/>
    <w:rsid w:val="00BC1E76"/>
    <w:rsid w:val="00BC1F79"/>
    <w:rsid w:val="00BC243B"/>
    <w:rsid w:val="00BC28FE"/>
    <w:rsid w:val="00BC3534"/>
    <w:rsid w:val="00BC3DD0"/>
    <w:rsid w:val="00BC43CB"/>
    <w:rsid w:val="00BC517D"/>
    <w:rsid w:val="00BC537D"/>
    <w:rsid w:val="00BC57DC"/>
    <w:rsid w:val="00BC6241"/>
    <w:rsid w:val="00BC77C2"/>
    <w:rsid w:val="00BC7C73"/>
    <w:rsid w:val="00BD1F68"/>
    <w:rsid w:val="00BD21C5"/>
    <w:rsid w:val="00BD2D63"/>
    <w:rsid w:val="00BD3786"/>
    <w:rsid w:val="00BD412A"/>
    <w:rsid w:val="00BD5AA1"/>
    <w:rsid w:val="00BD688D"/>
    <w:rsid w:val="00BD6CAA"/>
    <w:rsid w:val="00BD6CD2"/>
    <w:rsid w:val="00BD7B40"/>
    <w:rsid w:val="00BE20F5"/>
    <w:rsid w:val="00BE2252"/>
    <w:rsid w:val="00BE272A"/>
    <w:rsid w:val="00BE39CC"/>
    <w:rsid w:val="00BE3A41"/>
    <w:rsid w:val="00BE5579"/>
    <w:rsid w:val="00BE6DC3"/>
    <w:rsid w:val="00BE7477"/>
    <w:rsid w:val="00BE770B"/>
    <w:rsid w:val="00BE7C70"/>
    <w:rsid w:val="00BE7E70"/>
    <w:rsid w:val="00BE7F8D"/>
    <w:rsid w:val="00BF0227"/>
    <w:rsid w:val="00BF0545"/>
    <w:rsid w:val="00BF1405"/>
    <w:rsid w:val="00BF2423"/>
    <w:rsid w:val="00BF26B1"/>
    <w:rsid w:val="00BF27FF"/>
    <w:rsid w:val="00BF2D58"/>
    <w:rsid w:val="00BF306A"/>
    <w:rsid w:val="00BF34C5"/>
    <w:rsid w:val="00BF37AE"/>
    <w:rsid w:val="00BF4B31"/>
    <w:rsid w:val="00BF6843"/>
    <w:rsid w:val="00BF6982"/>
    <w:rsid w:val="00BF73AA"/>
    <w:rsid w:val="00BF773A"/>
    <w:rsid w:val="00BF7844"/>
    <w:rsid w:val="00C00CE2"/>
    <w:rsid w:val="00C01560"/>
    <w:rsid w:val="00C01944"/>
    <w:rsid w:val="00C02137"/>
    <w:rsid w:val="00C02C46"/>
    <w:rsid w:val="00C055BA"/>
    <w:rsid w:val="00C05F91"/>
    <w:rsid w:val="00C063B1"/>
    <w:rsid w:val="00C0695E"/>
    <w:rsid w:val="00C10325"/>
    <w:rsid w:val="00C10CB4"/>
    <w:rsid w:val="00C12BEA"/>
    <w:rsid w:val="00C14943"/>
    <w:rsid w:val="00C14CE2"/>
    <w:rsid w:val="00C15158"/>
    <w:rsid w:val="00C15243"/>
    <w:rsid w:val="00C15309"/>
    <w:rsid w:val="00C15F3C"/>
    <w:rsid w:val="00C1646E"/>
    <w:rsid w:val="00C168E6"/>
    <w:rsid w:val="00C16F67"/>
    <w:rsid w:val="00C16FE1"/>
    <w:rsid w:val="00C21DF3"/>
    <w:rsid w:val="00C220BC"/>
    <w:rsid w:val="00C237CA"/>
    <w:rsid w:val="00C23DA4"/>
    <w:rsid w:val="00C23E11"/>
    <w:rsid w:val="00C23F4C"/>
    <w:rsid w:val="00C2533A"/>
    <w:rsid w:val="00C25AD4"/>
    <w:rsid w:val="00C260A6"/>
    <w:rsid w:val="00C26159"/>
    <w:rsid w:val="00C274AB"/>
    <w:rsid w:val="00C27B17"/>
    <w:rsid w:val="00C3231A"/>
    <w:rsid w:val="00C33ABD"/>
    <w:rsid w:val="00C341BD"/>
    <w:rsid w:val="00C35076"/>
    <w:rsid w:val="00C36EC3"/>
    <w:rsid w:val="00C40870"/>
    <w:rsid w:val="00C408A6"/>
    <w:rsid w:val="00C40BBF"/>
    <w:rsid w:val="00C419C6"/>
    <w:rsid w:val="00C42946"/>
    <w:rsid w:val="00C430BE"/>
    <w:rsid w:val="00C43DE2"/>
    <w:rsid w:val="00C44EE1"/>
    <w:rsid w:val="00C45FE0"/>
    <w:rsid w:val="00C464B0"/>
    <w:rsid w:val="00C46E01"/>
    <w:rsid w:val="00C475C7"/>
    <w:rsid w:val="00C479BA"/>
    <w:rsid w:val="00C50C69"/>
    <w:rsid w:val="00C50CA5"/>
    <w:rsid w:val="00C5196F"/>
    <w:rsid w:val="00C5238C"/>
    <w:rsid w:val="00C52446"/>
    <w:rsid w:val="00C52970"/>
    <w:rsid w:val="00C52E4D"/>
    <w:rsid w:val="00C5383E"/>
    <w:rsid w:val="00C53C9F"/>
    <w:rsid w:val="00C5546C"/>
    <w:rsid w:val="00C55AF8"/>
    <w:rsid w:val="00C55D0A"/>
    <w:rsid w:val="00C56237"/>
    <w:rsid w:val="00C57AB0"/>
    <w:rsid w:val="00C57D22"/>
    <w:rsid w:val="00C57D3F"/>
    <w:rsid w:val="00C601C5"/>
    <w:rsid w:val="00C60419"/>
    <w:rsid w:val="00C612A0"/>
    <w:rsid w:val="00C618E2"/>
    <w:rsid w:val="00C62923"/>
    <w:rsid w:val="00C62DDE"/>
    <w:rsid w:val="00C63013"/>
    <w:rsid w:val="00C63774"/>
    <w:rsid w:val="00C63875"/>
    <w:rsid w:val="00C63B8F"/>
    <w:rsid w:val="00C64A87"/>
    <w:rsid w:val="00C6542F"/>
    <w:rsid w:val="00C65F5A"/>
    <w:rsid w:val="00C67E71"/>
    <w:rsid w:val="00C70F4B"/>
    <w:rsid w:val="00C717BA"/>
    <w:rsid w:val="00C7183C"/>
    <w:rsid w:val="00C726D9"/>
    <w:rsid w:val="00C73526"/>
    <w:rsid w:val="00C7400B"/>
    <w:rsid w:val="00C74C11"/>
    <w:rsid w:val="00C7528F"/>
    <w:rsid w:val="00C75D56"/>
    <w:rsid w:val="00C76258"/>
    <w:rsid w:val="00C80375"/>
    <w:rsid w:val="00C832C9"/>
    <w:rsid w:val="00C8364F"/>
    <w:rsid w:val="00C83CAA"/>
    <w:rsid w:val="00C83DA1"/>
    <w:rsid w:val="00C9004E"/>
    <w:rsid w:val="00C91600"/>
    <w:rsid w:val="00C931B1"/>
    <w:rsid w:val="00C9355D"/>
    <w:rsid w:val="00C9450E"/>
    <w:rsid w:val="00C9456A"/>
    <w:rsid w:val="00C94C2E"/>
    <w:rsid w:val="00C97229"/>
    <w:rsid w:val="00C976C4"/>
    <w:rsid w:val="00CA20AE"/>
    <w:rsid w:val="00CA2ECD"/>
    <w:rsid w:val="00CA34F5"/>
    <w:rsid w:val="00CA3B1F"/>
    <w:rsid w:val="00CA3EE5"/>
    <w:rsid w:val="00CA41C4"/>
    <w:rsid w:val="00CA49A4"/>
    <w:rsid w:val="00CA503B"/>
    <w:rsid w:val="00CA5531"/>
    <w:rsid w:val="00CA68C5"/>
    <w:rsid w:val="00CA7894"/>
    <w:rsid w:val="00CA7A6A"/>
    <w:rsid w:val="00CB0D08"/>
    <w:rsid w:val="00CB0E86"/>
    <w:rsid w:val="00CB117F"/>
    <w:rsid w:val="00CB1927"/>
    <w:rsid w:val="00CB2330"/>
    <w:rsid w:val="00CB26B1"/>
    <w:rsid w:val="00CB52DC"/>
    <w:rsid w:val="00CB5BC2"/>
    <w:rsid w:val="00CB7E5D"/>
    <w:rsid w:val="00CC0054"/>
    <w:rsid w:val="00CC00B1"/>
    <w:rsid w:val="00CC028F"/>
    <w:rsid w:val="00CC0AFF"/>
    <w:rsid w:val="00CC180E"/>
    <w:rsid w:val="00CC193C"/>
    <w:rsid w:val="00CC29B3"/>
    <w:rsid w:val="00CC2D67"/>
    <w:rsid w:val="00CC5641"/>
    <w:rsid w:val="00CC5733"/>
    <w:rsid w:val="00CC7243"/>
    <w:rsid w:val="00CD0471"/>
    <w:rsid w:val="00CD3B72"/>
    <w:rsid w:val="00CD5244"/>
    <w:rsid w:val="00CD5435"/>
    <w:rsid w:val="00CD56B8"/>
    <w:rsid w:val="00CD57A5"/>
    <w:rsid w:val="00CD6853"/>
    <w:rsid w:val="00CD6BE6"/>
    <w:rsid w:val="00CD6FA7"/>
    <w:rsid w:val="00CD7DF1"/>
    <w:rsid w:val="00CE1A0B"/>
    <w:rsid w:val="00CE3655"/>
    <w:rsid w:val="00CE5124"/>
    <w:rsid w:val="00CE5188"/>
    <w:rsid w:val="00CE6204"/>
    <w:rsid w:val="00CE68DE"/>
    <w:rsid w:val="00CE6E8B"/>
    <w:rsid w:val="00CF0527"/>
    <w:rsid w:val="00CF0762"/>
    <w:rsid w:val="00CF0CA4"/>
    <w:rsid w:val="00CF1FD5"/>
    <w:rsid w:val="00CF22BD"/>
    <w:rsid w:val="00CF281F"/>
    <w:rsid w:val="00CF326E"/>
    <w:rsid w:val="00CF3638"/>
    <w:rsid w:val="00CF4496"/>
    <w:rsid w:val="00CF4E0C"/>
    <w:rsid w:val="00CF52AA"/>
    <w:rsid w:val="00CF5361"/>
    <w:rsid w:val="00CF55A9"/>
    <w:rsid w:val="00CF5F4C"/>
    <w:rsid w:val="00CF723A"/>
    <w:rsid w:val="00D000B6"/>
    <w:rsid w:val="00D006F5"/>
    <w:rsid w:val="00D00F54"/>
    <w:rsid w:val="00D014B2"/>
    <w:rsid w:val="00D02480"/>
    <w:rsid w:val="00D025AA"/>
    <w:rsid w:val="00D03796"/>
    <w:rsid w:val="00D04F29"/>
    <w:rsid w:val="00D066BA"/>
    <w:rsid w:val="00D079B8"/>
    <w:rsid w:val="00D07DD4"/>
    <w:rsid w:val="00D10689"/>
    <w:rsid w:val="00D10F5A"/>
    <w:rsid w:val="00D10F8D"/>
    <w:rsid w:val="00D1121D"/>
    <w:rsid w:val="00D1198C"/>
    <w:rsid w:val="00D1261E"/>
    <w:rsid w:val="00D126ED"/>
    <w:rsid w:val="00D12873"/>
    <w:rsid w:val="00D13C8D"/>
    <w:rsid w:val="00D14137"/>
    <w:rsid w:val="00D1478B"/>
    <w:rsid w:val="00D1644C"/>
    <w:rsid w:val="00D16916"/>
    <w:rsid w:val="00D17349"/>
    <w:rsid w:val="00D17C75"/>
    <w:rsid w:val="00D205E0"/>
    <w:rsid w:val="00D2081F"/>
    <w:rsid w:val="00D21DA3"/>
    <w:rsid w:val="00D21FE2"/>
    <w:rsid w:val="00D23327"/>
    <w:rsid w:val="00D237DF"/>
    <w:rsid w:val="00D23A67"/>
    <w:rsid w:val="00D241C5"/>
    <w:rsid w:val="00D2586C"/>
    <w:rsid w:val="00D25936"/>
    <w:rsid w:val="00D26EF1"/>
    <w:rsid w:val="00D272A1"/>
    <w:rsid w:val="00D27E12"/>
    <w:rsid w:val="00D302E9"/>
    <w:rsid w:val="00D30669"/>
    <w:rsid w:val="00D30CF0"/>
    <w:rsid w:val="00D30D35"/>
    <w:rsid w:val="00D30EC6"/>
    <w:rsid w:val="00D31419"/>
    <w:rsid w:val="00D31D8E"/>
    <w:rsid w:val="00D32063"/>
    <w:rsid w:val="00D32B3D"/>
    <w:rsid w:val="00D32FC9"/>
    <w:rsid w:val="00D3336D"/>
    <w:rsid w:val="00D34F06"/>
    <w:rsid w:val="00D35D3A"/>
    <w:rsid w:val="00D361F5"/>
    <w:rsid w:val="00D36F95"/>
    <w:rsid w:val="00D37800"/>
    <w:rsid w:val="00D40079"/>
    <w:rsid w:val="00D40634"/>
    <w:rsid w:val="00D41637"/>
    <w:rsid w:val="00D41D1F"/>
    <w:rsid w:val="00D41D69"/>
    <w:rsid w:val="00D41F2A"/>
    <w:rsid w:val="00D424EC"/>
    <w:rsid w:val="00D43C84"/>
    <w:rsid w:val="00D44371"/>
    <w:rsid w:val="00D44551"/>
    <w:rsid w:val="00D44DEF"/>
    <w:rsid w:val="00D467B4"/>
    <w:rsid w:val="00D46EBE"/>
    <w:rsid w:val="00D51114"/>
    <w:rsid w:val="00D51209"/>
    <w:rsid w:val="00D51285"/>
    <w:rsid w:val="00D514B4"/>
    <w:rsid w:val="00D52324"/>
    <w:rsid w:val="00D5367C"/>
    <w:rsid w:val="00D536E5"/>
    <w:rsid w:val="00D54E55"/>
    <w:rsid w:val="00D5542F"/>
    <w:rsid w:val="00D568C1"/>
    <w:rsid w:val="00D56B0F"/>
    <w:rsid w:val="00D56FEE"/>
    <w:rsid w:val="00D5778A"/>
    <w:rsid w:val="00D579C1"/>
    <w:rsid w:val="00D61E68"/>
    <w:rsid w:val="00D641C5"/>
    <w:rsid w:val="00D64596"/>
    <w:rsid w:val="00D647DB"/>
    <w:rsid w:val="00D6486F"/>
    <w:rsid w:val="00D66FA3"/>
    <w:rsid w:val="00D67D18"/>
    <w:rsid w:val="00D67D3A"/>
    <w:rsid w:val="00D700B1"/>
    <w:rsid w:val="00D7100A"/>
    <w:rsid w:val="00D72E7D"/>
    <w:rsid w:val="00D74098"/>
    <w:rsid w:val="00D740FB"/>
    <w:rsid w:val="00D768DC"/>
    <w:rsid w:val="00D76AB8"/>
    <w:rsid w:val="00D804A9"/>
    <w:rsid w:val="00D80684"/>
    <w:rsid w:val="00D80EFB"/>
    <w:rsid w:val="00D81153"/>
    <w:rsid w:val="00D81551"/>
    <w:rsid w:val="00D817D2"/>
    <w:rsid w:val="00D82181"/>
    <w:rsid w:val="00D82366"/>
    <w:rsid w:val="00D82BA5"/>
    <w:rsid w:val="00D82D06"/>
    <w:rsid w:val="00D83A06"/>
    <w:rsid w:val="00D851B9"/>
    <w:rsid w:val="00D859D3"/>
    <w:rsid w:val="00D859F0"/>
    <w:rsid w:val="00D875BD"/>
    <w:rsid w:val="00D87BD9"/>
    <w:rsid w:val="00D90D48"/>
    <w:rsid w:val="00D910B8"/>
    <w:rsid w:val="00D91C4C"/>
    <w:rsid w:val="00D92034"/>
    <w:rsid w:val="00D92F43"/>
    <w:rsid w:val="00D93396"/>
    <w:rsid w:val="00D937C1"/>
    <w:rsid w:val="00D93A9E"/>
    <w:rsid w:val="00D94C4A"/>
    <w:rsid w:val="00D95003"/>
    <w:rsid w:val="00D95179"/>
    <w:rsid w:val="00D95712"/>
    <w:rsid w:val="00D95EB6"/>
    <w:rsid w:val="00D96221"/>
    <w:rsid w:val="00D97211"/>
    <w:rsid w:val="00D97388"/>
    <w:rsid w:val="00D9787E"/>
    <w:rsid w:val="00D97919"/>
    <w:rsid w:val="00D97B06"/>
    <w:rsid w:val="00D97CBF"/>
    <w:rsid w:val="00D97DCF"/>
    <w:rsid w:val="00DA0632"/>
    <w:rsid w:val="00DA0B09"/>
    <w:rsid w:val="00DA0F70"/>
    <w:rsid w:val="00DA11E5"/>
    <w:rsid w:val="00DA1486"/>
    <w:rsid w:val="00DA156A"/>
    <w:rsid w:val="00DA15D6"/>
    <w:rsid w:val="00DA1963"/>
    <w:rsid w:val="00DA242B"/>
    <w:rsid w:val="00DA266E"/>
    <w:rsid w:val="00DA2BF6"/>
    <w:rsid w:val="00DA3ECA"/>
    <w:rsid w:val="00DA5AE0"/>
    <w:rsid w:val="00DA75A5"/>
    <w:rsid w:val="00DB168B"/>
    <w:rsid w:val="00DB181C"/>
    <w:rsid w:val="00DB2D78"/>
    <w:rsid w:val="00DB47AD"/>
    <w:rsid w:val="00DB4827"/>
    <w:rsid w:val="00DB49E9"/>
    <w:rsid w:val="00DB4E0B"/>
    <w:rsid w:val="00DB5076"/>
    <w:rsid w:val="00DB522F"/>
    <w:rsid w:val="00DB7EE9"/>
    <w:rsid w:val="00DC1948"/>
    <w:rsid w:val="00DC2A50"/>
    <w:rsid w:val="00DC337E"/>
    <w:rsid w:val="00DC33C5"/>
    <w:rsid w:val="00DC3862"/>
    <w:rsid w:val="00DC3B34"/>
    <w:rsid w:val="00DC586B"/>
    <w:rsid w:val="00DC6ECA"/>
    <w:rsid w:val="00DD238E"/>
    <w:rsid w:val="00DD3043"/>
    <w:rsid w:val="00DD3414"/>
    <w:rsid w:val="00DD357F"/>
    <w:rsid w:val="00DD40B0"/>
    <w:rsid w:val="00DD4A7A"/>
    <w:rsid w:val="00DD5567"/>
    <w:rsid w:val="00DD5752"/>
    <w:rsid w:val="00DD6E08"/>
    <w:rsid w:val="00DD78C0"/>
    <w:rsid w:val="00DD79A4"/>
    <w:rsid w:val="00DE0229"/>
    <w:rsid w:val="00DE0345"/>
    <w:rsid w:val="00DE096F"/>
    <w:rsid w:val="00DE0B03"/>
    <w:rsid w:val="00DE1E70"/>
    <w:rsid w:val="00DE2CA3"/>
    <w:rsid w:val="00DE3743"/>
    <w:rsid w:val="00DE4126"/>
    <w:rsid w:val="00DE50E1"/>
    <w:rsid w:val="00DE5237"/>
    <w:rsid w:val="00DE543F"/>
    <w:rsid w:val="00DE5E21"/>
    <w:rsid w:val="00DE78FA"/>
    <w:rsid w:val="00DF0580"/>
    <w:rsid w:val="00DF1089"/>
    <w:rsid w:val="00DF15E8"/>
    <w:rsid w:val="00DF23FB"/>
    <w:rsid w:val="00DF26E2"/>
    <w:rsid w:val="00DF30C1"/>
    <w:rsid w:val="00DF420B"/>
    <w:rsid w:val="00DF4C5F"/>
    <w:rsid w:val="00DF4F3E"/>
    <w:rsid w:val="00DF52DC"/>
    <w:rsid w:val="00DF5516"/>
    <w:rsid w:val="00DF5662"/>
    <w:rsid w:val="00DF62B2"/>
    <w:rsid w:val="00DF69BC"/>
    <w:rsid w:val="00DF7063"/>
    <w:rsid w:val="00DF7A30"/>
    <w:rsid w:val="00E0006A"/>
    <w:rsid w:val="00E00075"/>
    <w:rsid w:val="00E0075B"/>
    <w:rsid w:val="00E0178E"/>
    <w:rsid w:val="00E01E69"/>
    <w:rsid w:val="00E02AB9"/>
    <w:rsid w:val="00E04C9D"/>
    <w:rsid w:val="00E06037"/>
    <w:rsid w:val="00E06811"/>
    <w:rsid w:val="00E07151"/>
    <w:rsid w:val="00E10BE4"/>
    <w:rsid w:val="00E11223"/>
    <w:rsid w:val="00E1178C"/>
    <w:rsid w:val="00E11D9A"/>
    <w:rsid w:val="00E123B3"/>
    <w:rsid w:val="00E1394A"/>
    <w:rsid w:val="00E1411C"/>
    <w:rsid w:val="00E14939"/>
    <w:rsid w:val="00E151D5"/>
    <w:rsid w:val="00E169CC"/>
    <w:rsid w:val="00E17293"/>
    <w:rsid w:val="00E17E08"/>
    <w:rsid w:val="00E2045E"/>
    <w:rsid w:val="00E21596"/>
    <w:rsid w:val="00E22959"/>
    <w:rsid w:val="00E23651"/>
    <w:rsid w:val="00E23BBE"/>
    <w:rsid w:val="00E25C2B"/>
    <w:rsid w:val="00E26130"/>
    <w:rsid w:val="00E26E6D"/>
    <w:rsid w:val="00E26FD8"/>
    <w:rsid w:val="00E2710E"/>
    <w:rsid w:val="00E27413"/>
    <w:rsid w:val="00E30B95"/>
    <w:rsid w:val="00E311E7"/>
    <w:rsid w:val="00E322BA"/>
    <w:rsid w:val="00E324E1"/>
    <w:rsid w:val="00E3345A"/>
    <w:rsid w:val="00E340DF"/>
    <w:rsid w:val="00E34360"/>
    <w:rsid w:val="00E355BA"/>
    <w:rsid w:val="00E36B17"/>
    <w:rsid w:val="00E37FFA"/>
    <w:rsid w:val="00E4079A"/>
    <w:rsid w:val="00E409E0"/>
    <w:rsid w:val="00E413D6"/>
    <w:rsid w:val="00E414BE"/>
    <w:rsid w:val="00E4198F"/>
    <w:rsid w:val="00E42527"/>
    <w:rsid w:val="00E46091"/>
    <w:rsid w:val="00E462D4"/>
    <w:rsid w:val="00E462DC"/>
    <w:rsid w:val="00E47414"/>
    <w:rsid w:val="00E47B8C"/>
    <w:rsid w:val="00E507A4"/>
    <w:rsid w:val="00E50A25"/>
    <w:rsid w:val="00E50C54"/>
    <w:rsid w:val="00E53411"/>
    <w:rsid w:val="00E53D33"/>
    <w:rsid w:val="00E53E75"/>
    <w:rsid w:val="00E5425D"/>
    <w:rsid w:val="00E5486A"/>
    <w:rsid w:val="00E5491A"/>
    <w:rsid w:val="00E55021"/>
    <w:rsid w:val="00E5554F"/>
    <w:rsid w:val="00E565B2"/>
    <w:rsid w:val="00E56AA7"/>
    <w:rsid w:val="00E60C04"/>
    <w:rsid w:val="00E60DEC"/>
    <w:rsid w:val="00E60E0F"/>
    <w:rsid w:val="00E61D37"/>
    <w:rsid w:val="00E61E77"/>
    <w:rsid w:val="00E63266"/>
    <w:rsid w:val="00E6420D"/>
    <w:rsid w:val="00E64210"/>
    <w:rsid w:val="00E64953"/>
    <w:rsid w:val="00E64B32"/>
    <w:rsid w:val="00E650CB"/>
    <w:rsid w:val="00E6518E"/>
    <w:rsid w:val="00E651C3"/>
    <w:rsid w:val="00E65AB7"/>
    <w:rsid w:val="00E66773"/>
    <w:rsid w:val="00E66856"/>
    <w:rsid w:val="00E66ABF"/>
    <w:rsid w:val="00E67297"/>
    <w:rsid w:val="00E67BE0"/>
    <w:rsid w:val="00E70468"/>
    <w:rsid w:val="00E70B4A"/>
    <w:rsid w:val="00E70FA8"/>
    <w:rsid w:val="00E7117C"/>
    <w:rsid w:val="00E71E7A"/>
    <w:rsid w:val="00E728B1"/>
    <w:rsid w:val="00E730B4"/>
    <w:rsid w:val="00E743F4"/>
    <w:rsid w:val="00E756AC"/>
    <w:rsid w:val="00E77014"/>
    <w:rsid w:val="00E770B7"/>
    <w:rsid w:val="00E80668"/>
    <w:rsid w:val="00E808C9"/>
    <w:rsid w:val="00E808EB"/>
    <w:rsid w:val="00E814C4"/>
    <w:rsid w:val="00E8155A"/>
    <w:rsid w:val="00E815D7"/>
    <w:rsid w:val="00E8190B"/>
    <w:rsid w:val="00E81EB4"/>
    <w:rsid w:val="00E81F46"/>
    <w:rsid w:val="00E82514"/>
    <w:rsid w:val="00E82C9A"/>
    <w:rsid w:val="00E834D5"/>
    <w:rsid w:val="00E8594A"/>
    <w:rsid w:val="00E862F6"/>
    <w:rsid w:val="00E86C5F"/>
    <w:rsid w:val="00E86DEE"/>
    <w:rsid w:val="00E876F5"/>
    <w:rsid w:val="00E87D33"/>
    <w:rsid w:val="00E90839"/>
    <w:rsid w:val="00E915CE"/>
    <w:rsid w:val="00E91EF3"/>
    <w:rsid w:val="00E928AB"/>
    <w:rsid w:val="00E93472"/>
    <w:rsid w:val="00E936B7"/>
    <w:rsid w:val="00E937BE"/>
    <w:rsid w:val="00E93A02"/>
    <w:rsid w:val="00E94BD1"/>
    <w:rsid w:val="00E95A43"/>
    <w:rsid w:val="00E95B70"/>
    <w:rsid w:val="00E95F56"/>
    <w:rsid w:val="00E9748B"/>
    <w:rsid w:val="00E97583"/>
    <w:rsid w:val="00EA0033"/>
    <w:rsid w:val="00EA0F19"/>
    <w:rsid w:val="00EA1B30"/>
    <w:rsid w:val="00EA262D"/>
    <w:rsid w:val="00EA3146"/>
    <w:rsid w:val="00EA32DC"/>
    <w:rsid w:val="00EA3DC5"/>
    <w:rsid w:val="00EA4628"/>
    <w:rsid w:val="00EA5509"/>
    <w:rsid w:val="00EA746B"/>
    <w:rsid w:val="00EA7E21"/>
    <w:rsid w:val="00EB125E"/>
    <w:rsid w:val="00EB14C1"/>
    <w:rsid w:val="00EB19ED"/>
    <w:rsid w:val="00EB264C"/>
    <w:rsid w:val="00EB27B8"/>
    <w:rsid w:val="00EB2F35"/>
    <w:rsid w:val="00EB30E0"/>
    <w:rsid w:val="00EB3268"/>
    <w:rsid w:val="00EB3519"/>
    <w:rsid w:val="00EB3716"/>
    <w:rsid w:val="00EB37EA"/>
    <w:rsid w:val="00EB3D0C"/>
    <w:rsid w:val="00EB53BE"/>
    <w:rsid w:val="00EB56CF"/>
    <w:rsid w:val="00EB5921"/>
    <w:rsid w:val="00EB5E14"/>
    <w:rsid w:val="00EB5F24"/>
    <w:rsid w:val="00EB6558"/>
    <w:rsid w:val="00EB661A"/>
    <w:rsid w:val="00EB7144"/>
    <w:rsid w:val="00EB75CF"/>
    <w:rsid w:val="00EC1189"/>
    <w:rsid w:val="00EC21A0"/>
    <w:rsid w:val="00EC23AB"/>
    <w:rsid w:val="00EC35FF"/>
    <w:rsid w:val="00EC3AAE"/>
    <w:rsid w:val="00EC412C"/>
    <w:rsid w:val="00EC48C5"/>
    <w:rsid w:val="00EC5373"/>
    <w:rsid w:val="00EC55AF"/>
    <w:rsid w:val="00EC5CFD"/>
    <w:rsid w:val="00EC672B"/>
    <w:rsid w:val="00EC6799"/>
    <w:rsid w:val="00EC734A"/>
    <w:rsid w:val="00EC738F"/>
    <w:rsid w:val="00EC78BF"/>
    <w:rsid w:val="00ED0492"/>
    <w:rsid w:val="00ED0A1B"/>
    <w:rsid w:val="00ED0B18"/>
    <w:rsid w:val="00ED1067"/>
    <w:rsid w:val="00ED186E"/>
    <w:rsid w:val="00ED2307"/>
    <w:rsid w:val="00ED244C"/>
    <w:rsid w:val="00ED2871"/>
    <w:rsid w:val="00ED4680"/>
    <w:rsid w:val="00ED5DBA"/>
    <w:rsid w:val="00ED75C7"/>
    <w:rsid w:val="00ED7B92"/>
    <w:rsid w:val="00EE0202"/>
    <w:rsid w:val="00EE0752"/>
    <w:rsid w:val="00EE2626"/>
    <w:rsid w:val="00EE27DA"/>
    <w:rsid w:val="00EE32B5"/>
    <w:rsid w:val="00EE4C3C"/>
    <w:rsid w:val="00EE53BF"/>
    <w:rsid w:val="00EE5535"/>
    <w:rsid w:val="00EE65AF"/>
    <w:rsid w:val="00EE6A3C"/>
    <w:rsid w:val="00EE6C72"/>
    <w:rsid w:val="00EF0077"/>
    <w:rsid w:val="00EF0D3A"/>
    <w:rsid w:val="00EF133A"/>
    <w:rsid w:val="00EF147B"/>
    <w:rsid w:val="00EF177E"/>
    <w:rsid w:val="00EF1B0A"/>
    <w:rsid w:val="00EF2D37"/>
    <w:rsid w:val="00EF2D39"/>
    <w:rsid w:val="00EF3638"/>
    <w:rsid w:val="00EF36F1"/>
    <w:rsid w:val="00EF3AC9"/>
    <w:rsid w:val="00EF45A0"/>
    <w:rsid w:val="00EF5346"/>
    <w:rsid w:val="00EF5396"/>
    <w:rsid w:val="00EF545F"/>
    <w:rsid w:val="00EF75F4"/>
    <w:rsid w:val="00EF7CA2"/>
    <w:rsid w:val="00F0193B"/>
    <w:rsid w:val="00F01DC9"/>
    <w:rsid w:val="00F01E04"/>
    <w:rsid w:val="00F0376B"/>
    <w:rsid w:val="00F03C90"/>
    <w:rsid w:val="00F040EB"/>
    <w:rsid w:val="00F06300"/>
    <w:rsid w:val="00F06F4F"/>
    <w:rsid w:val="00F1004F"/>
    <w:rsid w:val="00F100D9"/>
    <w:rsid w:val="00F104DF"/>
    <w:rsid w:val="00F10CA3"/>
    <w:rsid w:val="00F12E73"/>
    <w:rsid w:val="00F13207"/>
    <w:rsid w:val="00F13920"/>
    <w:rsid w:val="00F14A8F"/>
    <w:rsid w:val="00F14BA7"/>
    <w:rsid w:val="00F155F8"/>
    <w:rsid w:val="00F15D5A"/>
    <w:rsid w:val="00F1671F"/>
    <w:rsid w:val="00F17CB0"/>
    <w:rsid w:val="00F17FE9"/>
    <w:rsid w:val="00F20295"/>
    <w:rsid w:val="00F21CC7"/>
    <w:rsid w:val="00F21CEE"/>
    <w:rsid w:val="00F22179"/>
    <w:rsid w:val="00F227D4"/>
    <w:rsid w:val="00F22CF6"/>
    <w:rsid w:val="00F230B7"/>
    <w:rsid w:val="00F23327"/>
    <w:rsid w:val="00F238FD"/>
    <w:rsid w:val="00F244C5"/>
    <w:rsid w:val="00F246D0"/>
    <w:rsid w:val="00F246F1"/>
    <w:rsid w:val="00F2552C"/>
    <w:rsid w:val="00F2557B"/>
    <w:rsid w:val="00F27F36"/>
    <w:rsid w:val="00F317CA"/>
    <w:rsid w:val="00F33175"/>
    <w:rsid w:val="00F364D2"/>
    <w:rsid w:val="00F36515"/>
    <w:rsid w:val="00F36BE8"/>
    <w:rsid w:val="00F4083B"/>
    <w:rsid w:val="00F40918"/>
    <w:rsid w:val="00F40BAA"/>
    <w:rsid w:val="00F41200"/>
    <w:rsid w:val="00F4156C"/>
    <w:rsid w:val="00F41888"/>
    <w:rsid w:val="00F434EB"/>
    <w:rsid w:val="00F43EAD"/>
    <w:rsid w:val="00F442DE"/>
    <w:rsid w:val="00F46021"/>
    <w:rsid w:val="00F46B7E"/>
    <w:rsid w:val="00F47341"/>
    <w:rsid w:val="00F47D13"/>
    <w:rsid w:val="00F47E8C"/>
    <w:rsid w:val="00F50497"/>
    <w:rsid w:val="00F50669"/>
    <w:rsid w:val="00F50FB6"/>
    <w:rsid w:val="00F52321"/>
    <w:rsid w:val="00F52BB9"/>
    <w:rsid w:val="00F54386"/>
    <w:rsid w:val="00F5441A"/>
    <w:rsid w:val="00F544F2"/>
    <w:rsid w:val="00F54589"/>
    <w:rsid w:val="00F54B06"/>
    <w:rsid w:val="00F553EA"/>
    <w:rsid w:val="00F557A1"/>
    <w:rsid w:val="00F55EF3"/>
    <w:rsid w:val="00F56275"/>
    <w:rsid w:val="00F57031"/>
    <w:rsid w:val="00F57F9C"/>
    <w:rsid w:val="00F60EB5"/>
    <w:rsid w:val="00F61A79"/>
    <w:rsid w:val="00F62ADB"/>
    <w:rsid w:val="00F658F8"/>
    <w:rsid w:val="00F668AE"/>
    <w:rsid w:val="00F66C05"/>
    <w:rsid w:val="00F671AF"/>
    <w:rsid w:val="00F67506"/>
    <w:rsid w:val="00F70174"/>
    <w:rsid w:val="00F707AA"/>
    <w:rsid w:val="00F713ED"/>
    <w:rsid w:val="00F7254C"/>
    <w:rsid w:val="00F73576"/>
    <w:rsid w:val="00F73CD9"/>
    <w:rsid w:val="00F75070"/>
    <w:rsid w:val="00F76A9A"/>
    <w:rsid w:val="00F77788"/>
    <w:rsid w:val="00F77BBC"/>
    <w:rsid w:val="00F803FF"/>
    <w:rsid w:val="00F80615"/>
    <w:rsid w:val="00F80843"/>
    <w:rsid w:val="00F812AD"/>
    <w:rsid w:val="00F81730"/>
    <w:rsid w:val="00F81BAC"/>
    <w:rsid w:val="00F824A4"/>
    <w:rsid w:val="00F82598"/>
    <w:rsid w:val="00F830F8"/>
    <w:rsid w:val="00F83AC7"/>
    <w:rsid w:val="00F83E64"/>
    <w:rsid w:val="00F840B7"/>
    <w:rsid w:val="00F8488E"/>
    <w:rsid w:val="00F84C61"/>
    <w:rsid w:val="00F84F23"/>
    <w:rsid w:val="00F85071"/>
    <w:rsid w:val="00F85085"/>
    <w:rsid w:val="00F850AF"/>
    <w:rsid w:val="00F85A01"/>
    <w:rsid w:val="00F85B2F"/>
    <w:rsid w:val="00F86AA5"/>
    <w:rsid w:val="00F86C34"/>
    <w:rsid w:val="00F874FB"/>
    <w:rsid w:val="00F87E23"/>
    <w:rsid w:val="00F904C2"/>
    <w:rsid w:val="00F911E0"/>
    <w:rsid w:val="00F91527"/>
    <w:rsid w:val="00F9181C"/>
    <w:rsid w:val="00F91E02"/>
    <w:rsid w:val="00F91FD8"/>
    <w:rsid w:val="00F9271E"/>
    <w:rsid w:val="00F93AAF"/>
    <w:rsid w:val="00F93D2C"/>
    <w:rsid w:val="00F94363"/>
    <w:rsid w:val="00F945BD"/>
    <w:rsid w:val="00F9593E"/>
    <w:rsid w:val="00F95AA1"/>
    <w:rsid w:val="00F96743"/>
    <w:rsid w:val="00F96CB0"/>
    <w:rsid w:val="00F9706B"/>
    <w:rsid w:val="00FA0B3A"/>
    <w:rsid w:val="00FA0C41"/>
    <w:rsid w:val="00FA0EF2"/>
    <w:rsid w:val="00FA177E"/>
    <w:rsid w:val="00FA2FC9"/>
    <w:rsid w:val="00FA3A79"/>
    <w:rsid w:val="00FA3F94"/>
    <w:rsid w:val="00FA4354"/>
    <w:rsid w:val="00FA467D"/>
    <w:rsid w:val="00FA485F"/>
    <w:rsid w:val="00FA4925"/>
    <w:rsid w:val="00FA5B04"/>
    <w:rsid w:val="00FA61D9"/>
    <w:rsid w:val="00FA645A"/>
    <w:rsid w:val="00FA66E7"/>
    <w:rsid w:val="00FA6990"/>
    <w:rsid w:val="00FA76DA"/>
    <w:rsid w:val="00FB02C6"/>
    <w:rsid w:val="00FB06C0"/>
    <w:rsid w:val="00FB233C"/>
    <w:rsid w:val="00FB3214"/>
    <w:rsid w:val="00FB3F83"/>
    <w:rsid w:val="00FB4D14"/>
    <w:rsid w:val="00FB50C1"/>
    <w:rsid w:val="00FB52F7"/>
    <w:rsid w:val="00FB5944"/>
    <w:rsid w:val="00FB647F"/>
    <w:rsid w:val="00FC025E"/>
    <w:rsid w:val="00FC1ADE"/>
    <w:rsid w:val="00FC1C75"/>
    <w:rsid w:val="00FC2C72"/>
    <w:rsid w:val="00FC2CE3"/>
    <w:rsid w:val="00FC2D5E"/>
    <w:rsid w:val="00FC2DB1"/>
    <w:rsid w:val="00FC2DFB"/>
    <w:rsid w:val="00FC3495"/>
    <w:rsid w:val="00FC3D3D"/>
    <w:rsid w:val="00FC45ED"/>
    <w:rsid w:val="00FC4680"/>
    <w:rsid w:val="00FC4DCF"/>
    <w:rsid w:val="00FC5097"/>
    <w:rsid w:val="00FC5571"/>
    <w:rsid w:val="00FC5BD0"/>
    <w:rsid w:val="00FC6E7D"/>
    <w:rsid w:val="00FC7F45"/>
    <w:rsid w:val="00FD0F48"/>
    <w:rsid w:val="00FD10F1"/>
    <w:rsid w:val="00FD144D"/>
    <w:rsid w:val="00FD1DE3"/>
    <w:rsid w:val="00FD2DDD"/>
    <w:rsid w:val="00FD30AF"/>
    <w:rsid w:val="00FD3ED4"/>
    <w:rsid w:val="00FD4787"/>
    <w:rsid w:val="00FD505D"/>
    <w:rsid w:val="00FD561D"/>
    <w:rsid w:val="00FD5E47"/>
    <w:rsid w:val="00FD60B3"/>
    <w:rsid w:val="00FD60E3"/>
    <w:rsid w:val="00FD6423"/>
    <w:rsid w:val="00FE0A0D"/>
    <w:rsid w:val="00FE10D6"/>
    <w:rsid w:val="00FE2C16"/>
    <w:rsid w:val="00FE554A"/>
    <w:rsid w:val="00FE5E8E"/>
    <w:rsid w:val="00FE7B4D"/>
    <w:rsid w:val="00FF07EB"/>
    <w:rsid w:val="00FF17B6"/>
    <w:rsid w:val="00FF196D"/>
    <w:rsid w:val="00FF1E23"/>
    <w:rsid w:val="00FF2145"/>
    <w:rsid w:val="00FF3137"/>
    <w:rsid w:val="00FF3359"/>
    <w:rsid w:val="00FF33F4"/>
    <w:rsid w:val="00FF3A37"/>
    <w:rsid w:val="00FF43C2"/>
    <w:rsid w:val="00FF4ABA"/>
    <w:rsid w:val="00FF4ECE"/>
    <w:rsid w:val="00FF5EEB"/>
    <w:rsid w:val="00FF72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53A8D"/>
  <w15:docId w15:val="{E090C11E-7925-4A61-96F3-B4E8B7AD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D2C68"/>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Ttulo2">
    <w:name w:val="heading 2"/>
    <w:basedOn w:val="Normal"/>
    <w:link w:val="Ttulo2Car"/>
    <w:uiPriority w:val="9"/>
    <w:qFormat/>
    <w:rsid w:val="00E1178C"/>
    <w:pPr>
      <w:spacing w:before="60" w:after="60" w:line="240" w:lineRule="auto"/>
      <w:outlineLvl w:val="1"/>
    </w:pPr>
    <w:rPr>
      <w:rFonts w:ascii="Times New Roman" w:eastAsia="Times New Roman" w:hAnsi="Times New Roman" w:cs="Times New Roman"/>
      <w:color w:val="0083B6"/>
      <w:sz w:val="29"/>
      <w:szCs w:val="29"/>
      <w:lang w:eastAsia="es-MX"/>
    </w:rPr>
  </w:style>
  <w:style w:type="paragraph" w:styleId="Ttulo3">
    <w:name w:val="heading 3"/>
    <w:basedOn w:val="Normal"/>
    <w:next w:val="Normal"/>
    <w:link w:val="Ttulo3Car"/>
    <w:uiPriority w:val="9"/>
    <w:semiHidden/>
    <w:unhideWhenUsed/>
    <w:qFormat/>
    <w:rsid w:val="00D3336D"/>
    <w:pPr>
      <w:keepNext/>
      <w:keepLines/>
      <w:spacing w:before="200" w:after="0"/>
      <w:outlineLvl w:val="2"/>
    </w:pPr>
    <w:rPr>
      <w:rFonts w:asciiTheme="majorHAnsi" w:eastAsiaTheme="majorEastAsia" w:hAnsiTheme="majorHAnsi" w:cstheme="majorBidi"/>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2C68"/>
    <w:rPr>
      <w:rFonts w:asciiTheme="majorHAnsi" w:eastAsiaTheme="majorEastAsia" w:hAnsiTheme="majorHAnsi" w:cstheme="majorBidi"/>
      <w:b w:val="0"/>
      <w:bCs/>
      <w:color w:val="365F91" w:themeColor="accent1" w:themeShade="BF"/>
      <w:sz w:val="28"/>
      <w:szCs w:val="28"/>
    </w:rPr>
  </w:style>
  <w:style w:type="character" w:customStyle="1" w:styleId="Ttulo2Car">
    <w:name w:val="Título 2 Car"/>
    <w:basedOn w:val="Fuentedeprrafopredeter"/>
    <w:link w:val="Ttulo2"/>
    <w:uiPriority w:val="9"/>
    <w:rsid w:val="00E1178C"/>
    <w:rPr>
      <w:rFonts w:ascii="Times New Roman" w:eastAsia="Times New Roman" w:hAnsi="Times New Roman" w:cs="Times New Roman"/>
      <w:color w:val="0083B6"/>
      <w:sz w:val="29"/>
      <w:szCs w:val="29"/>
      <w:lang w:eastAsia="es-MX"/>
    </w:rPr>
  </w:style>
  <w:style w:type="character" w:customStyle="1" w:styleId="Ttulo3Car">
    <w:name w:val="Título 3 Car"/>
    <w:basedOn w:val="Fuentedeprrafopredeter"/>
    <w:link w:val="Ttulo3"/>
    <w:uiPriority w:val="9"/>
    <w:semiHidden/>
    <w:rsid w:val="00D3336D"/>
    <w:rPr>
      <w:rFonts w:asciiTheme="majorHAnsi" w:eastAsiaTheme="majorEastAsia" w:hAnsiTheme="majorHAnsi" w:cstheme="majorBidi"/>
      <w:b w:val="0"/>
      <w:bCs/>
      <w:color w:val="4F81BD" w:themeColor="accent1"/>
    </w:rPr>
  </w:style>
  <w:style w:type="paragraph" w:styleId="Prrafodelista">
    <w:name w:val="List Paragraph"/>
    <w:basedOn w:val="Normal"/>
    <w:link w:val="PrrafodelistaCar"/>
    <w:uiPriority w:val="34"/>
    <w:qFormat/>
    <w:rsid w:val="00505A58"/>
    <w:pPr>
      <w:ind w:left="720"/>
      <w:contextualSpacing/>
    </w:pPr>
  </w:style>
  <w:style w:type="character" w:customStyle="1" w:styleId="PrrafodelistaCar">
    <w:name w:val="Párrafo de lista Car"/>
    <w:link w:val="Prrafodelista"/>
    <w:uiPriority w:val="34"/>
    <w:locked/>
    <w:rsid w:val="00A77DE6"/>
  </w:style>
  <w:style w:type="character" w:styleId="Hipervnculo">
    <w:name w:val="Hyperlink"/>
    <w:basedOn w:val="Fuentedeprrafopredeter"/>
    <w:uiPriority w:val="99"/>
    <w:unhideWhenUsed/>
    <w:rsid w:val="00CC5641"/>
    <w:rPr>
      <w:strike w:val="0"/>
      <w:dstrike w:val="0"/>
      <w:color w:val="000000"/>
      <w:u w:val="none"/>
      <w:effect w:val="none"/>
    </w:rPr>
  </w:style>
  <w:style w:type="character" w:styleId="Textoennegrita">
    <w:name w:val="Strong"/>
    <w:basedOn w:val="Fuentedeprrafopredeter"/>
    <w:uiPriority w:val="22"/>
    <w:qFormat/>
    <w:rsid w:val="00CC5641"/>
    <w:rPr>
      <w:b w:val="0"/>
      <w:bCs/>
    </w:rPr>
  </w:style>
  <w:style w:type="paragraph" w:styleId="Textodeglobo">
    <w:name w:val="Balloon Text"/>
    <w:basedOn w:val="Normal"/>
    <w:link w:val="TextodegloboCar"/>
    <w:uiPriority w:val="99"/>
    <w:semiHidden/>
    <w:unhideWhenUsed/>
    <w:rsid w:val="00E117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78C"/>
    <w:rPr>
      <w:rFonts w:ascii="Tahoma" w:hAnsi="Tahoma" w:cs="Tahoma"/>
      <w:sz w:val="16"/>
      <w:szCs w:val="16"/>
    </w:rPr>
  </w:style>
  <w:style w:type="paragraph" w:styleId="NormalWeb">
    <w:name w:val="Normal (Web)"/>
    <w:basedOn w:val="Normal"/>
    <w:uiPriority w:val="99"/>
    <w:unhideWhenUsed/>
    <w:rsid w:val="003A114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A1143"/>
    <w:rPr>
      <w:i/>
      <w:iCs/>
    </w:rPr>
  </w:style>
  <w:style w:type="paragraph" w:styleId="Puesto">
    <w:name w:val="Title"/>
    <w:basedOn w:val="Normal"/>
    <w:link w:val="PuestoCar"/>
    <w:qFormat/>
    <w:rsid w:val="001767C7"/>
    <w:pPr>
      <w:spacing w:after="0" w:line="240" w:lineRule="auto"/>
    </w:pPr>
    <w:rPr>
      <w:rFonts w:ascii="Arial" w:eastAsia="Times New Roman" w:hAnsi="Arial" w:cs="Times New Roman"/>
      <w:sz w:val="24"/>
      <w:szCs w:val="20"/>
      <w:lang w:val="es-ES" w:eastAsia="es-ES"/>
    </w:rPr>
  </w:style>
  <w:style w:type="character" w:customStyle="1" w:styleId="PuestoCar">
    <w:name w:val="Puesto Car"/>
    <w:basedOn w:val="Fuentedeprrafopredeter"/>
    <w:link w:val="Puesto"/>
    <w:rsid w:val="001767C7"/>
    <w:rPr>
      <w:rFonts w:ascii="Arial" w:eastAsia="Times New Roman" w:hAnsi="Arial" w:cs="Times New Roman"/>
      <w:b w:val="0"/>
      <w:sz w:val="24"/>
      <w:szCs w:val="20"/>
      <w:lang w:val="es-ES" w:eastAsia="es-ES"/>
    </w:rPr>
  </w:style>
  <w:style w:type="paragraph" w:customStyle="1" w:styleId="n0">
    <w:name w:val="n0"/>
    <w:basedOn w:val="Normal"/>
    <w:rsid w:val="001767C7"/>
    <w:pPr>
      <w:keepLines/>
      <w:spacing w:before="240" w:after="0" w:line="240" w:lineRule="auto"/>
      <w:ind w:left="720" w:hanging="720"/>
      <w:jc w:val="both"/>
    </w:pPr>
    <w:rPr>
      <w:rFonts w:ascii="Univers (W1)" w:eastAsia="Times New Roman" w:hAnsi="Univers (W1)" w:cs="Times New Roman"/>
      <w:color w:val="800080"/>
      <w:sz w:val="24"/>
      <w:szCs w:val="20"/>
      <w:lang w:eastAsia="es-ES"/>
    </w:rPr>
  </w:style>
  <w:style w:type="paragraph" w:customStyle="1" w:styleId="Default">
    <w:name w:val="Default"/>
    <w:rsid w:val="001A5B5D"/>
    <w:pPr>
      <w:autoSpaceDE w:val="0"/>
      <w:autoSpaceDN w:val="0"/>
      <w:adjustRightInd w:val="0"/>
      <w:spacing w:after="0" w:line="240" w:lineRule="auto"/>
    </w:pPr>
    <w:rPr>
      <w:rFonts w:ascii="Arial" w:hAnsi="Arial" w:cs="Arial"/>
      <w:color w:val="000000"/>
      <w:sz w:val="24"/>
      <w:szCs w:val="24"/>
    </w:rPr>
  </w:style>
  <w:style w:type="table" w:styleId="Sombreadomedio1-nfasis1">
    <w:name w:val="Medium Shading 1 Accent 1"/>
    <w:basedOn w:val="Tablanormal"/>
    <w:uiPriority w:val="63"/>
    <w:rsid w:val="001A5B5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claro-nfasis5">
    <w:name w:val="Light Shading Accent 5"/>
    <w:basedOn w:val="Tablanormal"/>
    <w:uiPriority w:val="60"/>
    <w:rsid w:val="006F319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1">
    <w:name w:val="Light Shading Accent 1"/>
    <w:basedOn w:val="Tablanormal"/>
    <w:uiPriority w:val="60"/>
    <w:rsid w:val="000F4EA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pie">
    <w:name w:val="footnote text"/>
    <w:basedOn w:val="Normal"/>
    <w:link w:val="TextonotapieCar"/>
    <w:uiPriority w:val="99"/>
    <w:semiHidden/>
    <w:unhideWhenUsed/>
    <w:rsid w:val="00980B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0BCE"/>
    <w:rPr>
      <w:sz w:val="20"/>
      <w:szCs w:val="20"/>
    </w:rPr>
  </w:style>
  <w:style w:type="character" w:styleId="Refdenotaalpie">
    <w:name w:val="footnote reference"/>
    <w:basedOn w:val="Fuentedeprrafopredeter"/>
    <w:uiPriority w:val="99"/>
    <w:semiHidden/>
    <w:unhideWhenUsed/>
    <w:rsid w:val="00980BCE"/>
    <w:rPr>
      <w:vertAlign w:val="superscript"/>
    </w:rPr>
  </w:style>
  <w:style w:type="table" w:styleId="Tablaconcuadrcula">
    <w:name w:val="Table Grid"/>
    <w:basedOn w:val="Tablanormal"/>
    <w:uiPriority w:val="39"/>
    <w:rsid w:val="00EF1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
    <w:name w:val="Sombreado claro - Énfasis 11"/>
    <w:basedOn w:val="Tablanormal"/>
    <w:next w:val="Sombreadoclaro-nfasis1"/>
    <w:uiPriority w:val="60"/>
    <w:rsid w:val="00A76D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7">
    <w:name w:val="A7"/>
    <w:rsid w:val="004D2C68"/>
    <w:rPr>
      <w:rFonts w:cs="DIN Next LT Pro"/>
      <w:b w:val="0"/>
      <w:bCs/>
      <w:color w:val="000000"/>
      <w:sz w:val="50"/>
      <w:szCs w:val="50"/>
    </w:rPr>
  </w:style>
  <w:style w:type="character" w:customStyle="1" w:styleId="A4">
    <w:name w:val="A4"/>
    <w:uiPriority w:val="99"/>
    <w:rsid w:val="004D2C68"/>
    <w:rPr>
      <w:rFonts w:cs="DIN Next LT Pro"/>
      <w:color w:val="000000"/>
      <w:sz w:val="20"/>
      <w:szCs w:val="20"/>
    </w:rPr>
  </w:style>
  <w:style w:type="paragraph" w:customStyle="1" w:styleId="CM63">
    <w:name w:val="CM63"/>
    <w:basedOn w:val="Default"/>
    <w:next w:val="Default"/>
    <w:uiPriority w:val="99"/>
    <w:rsid w:val="00EA3146"/>
    <w:pPr>
      <w:widowControl w:val="0"/>
    </w:pPr>
    <w:rPr>
      <w:rFonts w:eastAsiaTheme="minorEastAsia"/>
      <w:color w:val="auto"/>
      <w:lang w:eastAsia="es-MX"/>
    </w:rPr>
  </w:style>
  <w:style w:type="table" w:styleId="Sombreadoclaro-nfasis6">
    <w:name w:val="Light Shading Accent 6"/>
    <w:basedOn w:val="Tablanormal"/>
    <w:uiPriority w:val="60"/>
    <w:rsid w:val="00527D9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Encabezado">
    <w:name w:val="header"/>
    <w:basedOn w:val="Normal"/>
    <w:link w:val="EncabezadoCar"/>
    <w:uiPriority w:val="99"/>
    <w:unhideWhenUsed/>
    <w:rsid w:val="00C153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5309"/>
  </w:style>
  <w:style w:type="paragraph" w:styleId="Piedepgina">
    <w:name w:val="footer"/>
    <w:basedOn w:val="Normal"/>
    <w:link w:val="PiedepginaCar"/>
    <w:uiPriority w:val="99"/>
    <w:unhideWhenUsed/>
    <w:rsid w:val="00C153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5309"/>
  </w:style>
  <w:style w:type="paragraph" w:styleId="Textoindependiente">
    <w:name w:val="Body Text"/>
    <w:basedOn w:val="Normal"/>
    <w:link w:val="TextoindependienteCar"/>
    <w:uiPriority w:val="99"/>
    <w:qFormat/>
    <w:rsid w:val="00CE1A0B"/>
    <w:pPr>
      <w:widowControl w:val="0"/>
      <w:autoSpaceDE w:val="0"/>
      <w:autoSpaceDN w:val="0"/>
      <w:adjustRightInd w:val="0"/>
      <w:spacing w:after="0" w:line="240" w:lineRule="auto"/>
      <w:ind w:left="120"/>
      <w:jc w:val="left"/>
    </w:pPr>
    <w:rPr>
      <w:rFonts w:ascii="DIN Next LT Pro Condensed" w:eastAsiaTheme="minorEastAsia" w:hAnsi="DIN Next LT Pro Condensed" w:cs="DIN Next LT Pro Condensed"/>
      <w:sz w:val="20"/>
      <w:szCs w:val="20"/>
      <w:lang w:eastAsia="es-MX"/>
    </w:rPr>
  </w:style>
  <w:style w:type="character" w:customStyle="1" w:styleId="TextoindependienteCar">
    <w:name w:val="Texto independiente Car"/>
    <w:basedOn w:val="Fuentedeprrafopredeter"/>
    <w:link w:val="Textoindependiente"/>
    <w:uiPriority w:val="99"/>
    <w:rsid w:val="00CE1A0B"/>
    <w:rPr>
      <w:rFonts w:ascii="DIN Next LT Pro Condensed" w:eastAsiaTheme="minorEastAsia" w:hAnsi="DIN Next LT Pro Condensed" w:cs="DIN Next LT Pro Condensed"/>
      <w:sz w:val="20"/>
      <w:szCs w:val="20"/>
      <w:lang w:eastAsia="es-MX"/>
    </w:rPr>
  </w:style>
  <w:style w:type="paragraph" w:customStyle="1" w:styleId="Texto">
    <w:name w:val="Texto"/>
    <w:basedOn w:val="Normal"/>
    <w:link w:val="TextoCar"/>
    <w:qFormat/>
    <w:rsid w:val="0031692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1692D"/>
    <w:rPr>
      <w:rFonts w:ascii="Arial" w:eastAsia="Times New Roman" w:hAnsi="Arial" w:cs="Arial"/>
      <w:sz w:val="18"/>
      <w:szCs w:val="20"/>
      <w:lang w:val="es-ES" w:eastAsia="es-ES"/>
    </w:rPr>
  </w:style>
  <w:style w:type="character" w:styleId="Hipervnculovisitado">
    <w:name w:val="FollowedHyperlink"/>
    <w:basedOn w:val="Fuentedeprrafopredeter"/>
    <w:uiPriority w:val="99"/>
    <w:semiHidden/>
    <w:unhideWhenUsed/>
    <w:rsid w:val="00AE0A3A"/>
    <w:rPr>
      <w:color w:val="800080"/>
      <w:u w:val="single"/>
    </w:rPr>
  </w:style>
  <w:style w:type="paragraph" w:customStyle="1" w:styleId="xl63">
    <w:name w:val="xl63"/>
    <w:basedOn w:val="Normal"/>
    <w:rsid w:val="00AE0A3A"/>
    <w:pP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eastAsia="es-MX"/>
    </w:rPr>
  </w:style>
  <w:style w:type="paragraph" w:customStyle="1" w:styleId="xl64">
    <w:name w:val="xl64"/>
    <w:basedOn w:val="Normal"/>
    <w:rsid w:val="00AE0A3A"/>
    <w:pP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es-MX"/>
    </w:rPr>
  </w:style>
  <w:style w:type="paragraph" w:customStyle="1" w:styleId="xl65">
    <w:name w:val="xl65"/>
    <w:basedOn w:val="Normal"/>
    <w:rsid w:val="00AE0A3A"/>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es-MX"/>
    </w:rPr>
  </w:style>
  <w:style w:type="paragraph" w:customStyle="1" w:styleId="xl66">
    <w:name w:val="xl66"/>
    <w:basedOn w:val="Normal"/>
    <w:rsid w:val="00AE0A3A"/>
    <w:pPr>
      <w:pBdr>
        <w:top w:val="single" w:sz="4" w:space="0" w:color="000000"/>
        <w:left w:val="single" w:sz="4" w:space="0" w:color="000000"/>
        <w:right w:val="single" w:sz="4" w:space="0" w:color="000000"/>
      </w:pBdr>
      <w:shd w:val="clear" w:color="000000" w:fill="D9D9D9"/>
      <w:spacing w:before="100" w:beforeAutospacing="1" w:after="100" w:afterAutospacing="1" w:line="240" w:lineRule="auto"/>
      <w:jc w:val="left"/>
      <w:textAlignment w:val="top"/>
    </w:pPr>
    <w:rPr>
      <w:rFonts w:ascii="Times New Roman" w:eastAsia="Times New Roman" w:hAnsi="Times New Roman" w:cs="Times New Roman"/>
      <w:sz w:val="24"/>
      <w:szCs w:val="24"/>
      <w:lang w:eastAsia="es-MX"/>
    </w:rPr>
  </w:style>
  <w:style w:type="paragraph" w:customStyle="1" w:styleId="xl67">
    <w:name w:val="xl67"/>
    <w:basedOn w:val="Normal"/>
    <w:rsid w:val="00AE0A3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es-MX"/>
    </w:rPr>
  </w:style>
  <w:style w:type="paragraph" w:customStyle="1" w:styleId="xl68">
    <w:name w:val="xl68"/>
    <w:basedOn w:val="Normal"/>
    <w:rsid w:val="00AE0A3A"/>
    <w:pPr>
      <w:pBdr>
        <w:top w:val="single" w:sz="4" w:space="0" w:color="000000"/>
        <w:left w:val="single" w:sz="4" w:space="0" w:color="000000"/>
        <w:right w:val="single" w:sz="4" w:space="0" w:color="000000"/>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es-MX"/>
    </w:rPr>
  </w:style>
  <w:style w:type="paragraph" w:customStyle="1" w:styleId="xl69">
    <w:name w:val="xl69"/>
    <w:basedOn w:val="Normal"/>
    <w:rsid w:val="00AE0A3A"/>
    <w:pPr>
      <w:pBdr>
        <w:left w:val="single" w:sz="4" w:space="0" w:color="000000"/>
        <w:bottom w:val="single" w:sz="4" w:space="0" w:color="000000"/>
        <w:right w:val="single" w:sz="4" w:space="0" w:color="000000"/>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es-MX"/>
    </w:rPr>
  </w:style>
  <w:style w:type="paragraph" w:customStyle="1" w:styleId="xl70">
    <w:name w:val="xl70"/>
    <w:basedOn w:val="Normal"/>
    <w:rsid w:val="00AE0A3A"/>
    <w:pPr>
      <w:pBdr>
        <w:left w:val="single" w:sz="4" w:space="0" w:color="000000"/>
        <w:bottom w:val="single" w:sz="4" w:space="0" w:color="000000"/>
        <w:right w:val="single" w:sz="4" w:space="0" w:color="000000"/>
      </w:pBdr>
      <w:shd w:val="clear" w:color="000000" w:fill="D9D9D9"/>
      <w:spacing w:before="100" w:beforeAutospacing="1" w:after="100" w:afterAutospacing="1" w:line="240" w:lineRule="auto"/>
      <w:jc w:val="left"/>
      <w:textAlignment w:val="top"/>
    </w:pPr>
    <w:rPr>
      <w:rFonts w:ascii="Times New Roman" w:eastAsia="Times New Roman" w:hAnsi="Times New Roman" w:cs="Times New Roman"/>
      <w:sz w:val="24"/>
      <w:szCs w:val="24"/>
      <w:lang w:eastAsia="es-MX"/>
    </w:rPr>
  </w:style>
  <w:style w:type="paragraph" w:customStyle="1" w:styleId="xl71">
    <w:name w:val="xl71"/>
    <w:basedOn w:val="Normal"/>
    <w:rsid w:val="00AE0A3A"/>
    <w:pPr>
      <w:pBdr>
        <w:left w:val="single" w:sz="4" w:space="0" w:color="000000"/>
        <w:right w:val="single" w:sz="4" w:space="0" w:color="000000"/>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eastAsia="es-MX"/>
    </w:rPr>
  </w:style>
  <w:style w:type="paragraph" w:customStyle="1" w:styleId="xl72">
    <w:name w:val="xl72"/>
    <w:basedOn w:val="Normal"/>
    <w:rsid w:val="00AE0A3A"/>
    <w:pPr>
      <w:pBdr>
        <w:left w:val="single" w:sz="4" w:space="0" w:color="000000"/>
        <w:right w:val="single" w:sz="4" w:space="0" w:color="000000"/>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b/>
      <w:bCs/>
      <w:color w:val="000000"/>
      <w:sz w:val="18"/>
      <w:szCs w:val="18"/>
      <w:lang w:eastAsia="es-MX"/>
    </w:rPr>
  </w:style>
  <w:style w:type="paragraph" w:customStyle="1" w:styleId="xl73">
    <w:name w:val="xl73"/>
    <w:basedOn w:val="Normal"/>
    <w:rsid w:val="00AE0A3A"/>
    <w:pPr>
      <w:pBdr>
        <w:left w:val="single" w:sz="4" w:space="0" w:color="000000"/>
        <w:right w:val="single" w:sz="4" w:space="0" w:color="000000"/>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color w:val="000000"/>
      <w:sz w:val="18"/>
      <w:szCs w:val="18"/>
      <w:lang w:eastAsia="es-MX"/>
    </w:rPr>
  </w:style>
  <w:style w:type="paragraph" w:customStyle="1" w:styleId="xl74">
    <w:name w:val="xl74"/>
    <w:basedOn w:val="Normal"/>
    <w:rsid w:val="00AE0A3A"/>
    <w:pPr>
      <w:pBdr>
        <w:left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es-MX"/>
    </w:rPr>
  </w:style>
  <w:style w:type="paragraph" w:customStyle="1" w:styleId="xl75">
    <w:name w:val="xl75"/>
    <w:basedOn w:val="Normal"/>
    <w:rsid w:val="00AE0A3A"/>
    <w:pPr>
      <w:pBdr>
        <w:left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es-MX"/>
    </w:rPr>
  </w:style>
  <w:style w:type="paragraph" w:customStyle="1" w:styleId="xl76">
    <w:name w:val="xl76"/>
    <w:basedOn w:val="Normal"/>
    <w:rsid w:val="00AE0A3A"/>
    <w:pPr>
      <w:pBdr>
        <w:top w:val="single" w:sz="4" w:space="0" w:color="000000"/>
        <w:left w:val="single" w:sz="4" w:space="0" w:color="000000"/>
        <w:bottom w:val="single" w:sz="4" w:space="0" w:color="000000"/>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es-MX"/>
    </w:rPr>
  </w:style>
  <w:style w:type="paragraph" w:customStyle="1" w:styleId="xl77">
    <w:name w:val="xl77"/>
    <w:basedOn w:val="Normal"/>
    <w:rsid w:val="00AE0A3A"/>
    <w:pPr>
      <w:pBdr>
        <w:top w:val="single" w:sz="4" w:space="0" w:color="000000"/>
        <w:bottom w:val="single" w:sz="4" w:space="0" w:color="000000"/>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es-MX"/>
    </w:rPr>
  </w:style>
  <w:style w:type="paragraph" w:customStyle="1" w:styleId="xl78">
    <w:name w:val="xl78"/>
    <w:basedOn w:val="Normal"/>
    <w:rsid w:val="00AE0A3A"/>
    <w:pPr>
      <w:pBdr>
        <w:top w:val="single" w:sz="4" w:space="0" w:color="000000"/>
        <w:bottom w:val="single" w:sz="4" w:space="0" w:color="000000"/>
        <w:right w:val="single" w:sz="4" w:space="0" w:color="000000"/>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es-MX"/>
    </w:rPr>
  </w:style>
  <w:style w:type="paragraph" w:customStyle="1" w:styleId="xl79">
    <w:name w:val="xl79"/>
    <w:basedOn w:val="Normal"/>
    <w:rsid w:val="00AE0A3A"/>
    <w:pPr>
      <w:pBdr>
        <w:left w:val="single" w:sz="4" w:space="0" w:color="000000"/>
        <w:right w:val="single" w:sz="4" w:space="0" w:color="000000"/>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es-MX"/>
    </w:rPr>
  </w:style>
  <w:style w:type="paragraph" w:styleId="TtulodeTDC">
    <w:name w:val="TOC Heading"/>
    <w:basedOn w:val="Ttulo1"/>
    <w:next w:val="Normal"/>
    <w:uiPriority w:val="39"/>
    <w:unhideWhenUsed/>
    <w:qFormat/>
    <w:rsid w:val="00831686"/>
    <w:pPr>
      <w:jc w:val="left"/>
      <w:outlineLvl w:val="9"/>
    </w:pPr>
    <w:rPr>
      <w:b/>
      <w:lang w:eastAsia="es-MX"/>
    </w:rPr>
  </w:style>
  <w:style w:type="paragraph" w:styleId="TDC2">
    <w:name w:val="toc 2"/>
    <w:basedOn w:val="Normal"/>
    <w:next w:val="Normal"/>
    <w:autoRedefine/>
    <w:uiPriority w:val="39"/>
    <w:semiHidden/>
    <w:unhideWhenUsed/>
    <w:qFormat/>
    <w:rsid w:val="00831686"/>
    <w:pPr>
      <w:spacing w:after="100"/>
      <w:ind w:left="220"/>
      <w:jc w:val="left"/>
    </w:pPr>
    <w:rPr>
      <w:rFonts w:eastAsiaTheme="minorEastAsia"/>
      <w:lang w:eastAsia="es-MX"/>
    </w:rPr>
  </w:style>
  <w:style w:type="paragraph" w:styleId="TDC1">
    <w:name w:val="toc 1"/>
    <w:basedOn w:val="Normal"/>
    <w:next w:val="Normal"/>
    <w:autoRedefine/>
    <w:uiPriority w:val="39"/>
    <w:unhideWhenUsed/>
    <w:qFormat/>
    <w:rsid w:val="001817CB"/>
    <w:pPr>
      <w:tabs>
        <w:tab w:val="right" w:leader="dot" w:pos="13150"/>
      </w:tabs>
      <w:spacing w:after="0" w:line="360" w:lineRule="auto"/>
      <w:jc w:val="left"/>
    </w:pPr>
    <w:rPr>
      <w:rFonts w:ascii="DIN Next LT Pro" w:eastAsiaTheme="minorEastAsia" w:hAnsi="DIN Next LT Pro"/>
      <w:b/>
      <w:sz w:val="18"/>
      <w:szCs w:val="18"/>
      <w:lang w:eastAsia="es-MX"/>
    </w:rPr>
  </w:style>
  <w:style w:type="paragraph" w:styleId="TDC3">
    <w:name w:val="toc 3"/>
    <w:basedOn w:val="Normal"/>
    <w:next w:val="Normal"/>
    <w:autoRedefine/>
    <w:uiPriority w:val="39"/>
    <w:semiHidden/>
    <w:unhideWhenUsed/>
    <w:qFormat/>
    <w:rsid w:val="00831686"/>
    <w:pPr>
      <w:spacing w:after="100"/>
      <w:ind w:left="440"/>
      <w:jc w:val="left"/>
    </w:pPr>
    <w:rPr>
      <w:rFonts w:eastAsiaTheme="minorEastAsia"/>
      <w:lang w:eastAsia="es-MX"/>
    </w:rPr>
  </w:style>
  <w:style w:type="paragraph" w:styleId="Sinespaciado">
    <w:name w:val="No Spacing"/>
    <w:link w:val="SinespaciadoCar"/>
    <w:uiPriority w:val="1"/>
    <w:qFormat/>
    <w:rsid w:val="007F6B10"/>
    <w:pPr>
      <w:spacing w:after="0" w:line="240" w:lineRule="auto"/>
      <w:jc w:val="left"/>
    </w:pPr>
    <w:rPr>
      <w:rFonts w:eastAsiaTheme="minorEastAsia"/>
      <w:lang w:eastAsia="es-MX"/>
    </w:rPr>
  </w:style>
  <w:style w:type="character" w:customStyle="1" w:styleId="SinespaciadoCar">
    <w:name w:val="Sin espaciado Car"/>
    <w:basedOn w:val="Fuentedeprrafopredeter"/>
    <w:link w:val="Sinespaciado"/>
    <w:uiPriority w:val="1"/>
    <w:rsid w:val="007F6B10"/>
    <w:rPr>
      <w:rFonts w:eastAsiaTheme="minorEastAsia"/>
      <w:lang w:eastAsia="es-MX"/>
    </w:rPr>
  </w:style>
  <w:style w:type="paragraph" w:customStyle="1" w:styleId="xl80">
    <w:name w:val="xl80"/>
    <w:basedOn w:val="Normal"/>
    <w:rsid w:val="00057AC4"/>
    <w:pPr>
      <w:pBdr>
        <w:top w:val="single" w:sz="4" w:space="0" w:color="000000"/>
        <w:bottom w:val="single" w:sz="4" w:space="0" w:color="000000"/>
        <w:right w:val="single" w:sz="4" w:space="0" w:color="000000"/>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es-MX"/>
    </w:rPr>
  </w:style>
  <w:style w:type="paragraph" w:customStyle="1" w:styleId="xl81">
    <w:name w:val="xl81"/>
    <w:basedOn w:val="Normal"/>
    <w:rsid w:val="00057AC4"/>
    <w:pPr>
      <w:pBdr>
        <w:left w:val="single" w:sz="4" w:space="0" w:color="000000"/>
        <w:right w:val="single" w:sz="4" w:space="0" w:color="000000"/>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es-MX"/>
    </w:rPr>
  </w:style>
  <w:style w:type="numbering" w:customStyle="1" w:styleId="Sinlista1">
    <w:name w:val="Sin lista1"/>
    <w:next w:val="Sinlista"/>
    <w:uiPriority w:val="99"/>
    <w:semiHidden/>
    <w:unhideWhenUsed/>
    <w:rsid w:val="005A7A13"/>
  </w:style>
  <w:style w:type="paragraph" w:styleId="Sangra2detindependiente">
    <w:name w:val="Body Text Indent 2"/>
    <w:basedOn w:val="Normal"/>
    <w:link w:val="Sangra2detindependienteCar"/>
    <w:semiHidden/>
    <w:unhideWhenUsed/>
    <w:rsid w:val="005A7A13"/>
    <w:pPr>
      <w:tabs>
        <w:tab w:val="decimal" w:pos="4820"/>
        <w:tab w:val="decimal" w:pos="6633"/>
      </w:tabs>
      <w:spacing w:after="0" w:line="240" w:lineRule="auto"/>
      <w:ind w:left="284" w:firstLine="76"/>
      <w:jc w:val="both"/>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5A7A13"/>
    <w:rPr>
      <w:rFonts w:ascii="Times New Roman" w:eastAsia="Times New Roman" w:hAnsi="Times New Roman" w:cs="Times New Roman"/>
      <w:sz w:val="24"/>
      <w:szCs w:val="24"/>
      <w:lang w:val="es-ES" w:eastAsia="es-ES"/>
    </w:rPr>
  </w:style>
  <w:style w:type="paragraph" w:styleId="Encabezadodemensaje">
    <w:name w:val="Message Header"/>
    <w:basedOn w:val="Normal"/>
    <w:link w:val="EncabezadodemensajeCar"/>
    <w:uiPriority w:val="99"/>
    <w:unhideWhenUsed/>
    <w:rsid w:val="005A7A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left"/>
    </w:pPr>
    <w:rPr>
      <w:rFonts w:asciiTheme="majorHAnsi" w:eastAsiaTheme="majorEastAsia" w:hAnsiTheme="majorHAnsi" w:cstheme="majorBidi"/>
      <w:sz w:val="24"/>
      <w:szCs w:val="24"/>
      <w:lang w:eastAsia="es-MX"/>
    </w:rPr>
  </w:style>
  <w:style w:type="character" w:customStyle="1" w:styleId="EncabezadodemensajeCar">
    <w:name w:val="Encabezado de mensaje Car"/>
    <w:basedOn w:val="Fuentedeprrafopredeter"/>
    <w:link w:val="Encabezadodemensaje"/>
    <w:uiPriority w:val="99"/>
    <w:rsid w:val="005A7A13"/>
    <w:rPr>
      <w:rFonts w:asciiTheme="majorHAnsi" w:eastAsiaTheme="majorEastAsia" w:hAnsiTheme="majorHAnsi" w:cstheme="majorBidi"/>
      <w:sz w:val="24"/>
      <w:szCs w:val="24"/>
      <w:shd w:val="pct20" w:color="auto" w:fill="auto"/>
      <w:lang w:eastAsia="es-MX"/>
    </w:rPr>
  </w:style>
  <w:style w:type="paragraph" w:customStyle="1" w:styleId="ListaCC">
    <w:name w:val="Lista CC."/>
    <w:basedOn w:val="Normal"/>
    <w:rsid w:val="005A7A13"/>
    <w:pPr>
      <w:jc w:val="left"/>
    </w:pPr>
    <w:rPr>
      <w:rFonts w:eastAsiaTheme="minorEastAsia"/>
      <w:lang w:eastAsia="es-MX"/>
    </w:rPr>
  </w:style>
  <w:style w:type="paragraph" w:styleId="Subttulo">
    <w:name w:val="Subtitle"/>
    <w:basedOn w:val="Normal"/>
    <w:next w:val="Normal"/>
    <w:link w:val="SubttuloCar"/>
    <w:uiPriority w:val="11"/>
    <w:qFormat/>
    <w:rsid w:val="005A7A13"/>
    <w:pPr>
      <w:numPr>
        <w:ilvl w:val="1"/>
      </w:numPr>
      <w:jc w:val="left"/>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5A7A13"/>
    <w:rPr>
      <w:rFonts w:asciiTheme="majorHAnsi" w:eastAsiaTheme="majorEastAsia" w:hAnsiTheme="majorHAnsi" w:cstheme="majorBidi"/>
      <w:i/>
      <w:iCs/>
      <w:color w:val="4F81BD" w:themeColor="accent1"/>
      <w:spacing w:val="15"/>
      <w:sz w:val="24"/>
      <w:szCs w:val="24"/>
      <w:lang w:eastAsia="es-MX"/>
    </w:rPr>
  </w:style>
  <w:style w:type="table" w:styleId="Cuadrculaclara-nfasis3">
    <w:name w:val="Light Grid Accent 3"/>
    <w:basedOn w:val="Tablanormal"/>
    <w:uiPriority w:val="62"/>
    <w:rsid w:val="005A7A13"/>
    <w:pPr>
      <w:spacing w:after="0" w:line="240" w:lineRule="auto"/>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apple-converted-space">
    <w:name w:val="apple-converted-space"/>
    <w:basedOn w:val="Fuentedeprrafopredeter"/>
    <w:rsid w:val="005A7A13"/>
  </w:style>
  <w:style w:type="paragraph" w:customStyle="1" w:styleId="font5">
    <w:name w:val="font5"/>
    <w:basedOn w:val="Normal"/>
    <w:rsid w:val="00B111AE"/>
    <w:pPr>
      <w:spacing w:before="100" w:beforeAutospacing="1" w:after="100" w:afterAutospacing="1" w:line="240" w:lineRule="auto"/>
      <w:jc w:val="left"/>
    </w:pPr>
    <w:rPr>
      <w:rFonts w:ascii="Calibri" w:eastAsia="Times New Roman" w:hAnsi="Calibri" w:cs="Times New Roman"/>
      <w:b/>
      <w:bCs/>
      <w:i/>
      <w:iCs/>
      <w:color w:val="000000"/>
      <w:sz w:val="16"/>
      <w:szCs w:val="16"/>
      <w:lang w:eastAsia="es-MX"/>
    </w:rPr>
  </w:style>
  <w:style w:type="paragraph" w:customStyle="1" w:styleId="xl82">
    <w:name w:val="xl82"/>
    <w:basedOn w:val="Normal"/>
    <w:rsid w:val="00B111AE"/>
    <w:pPr>
      <w:pBdr>
        <w:left w:val="single" w:sz="4" w:space="0" w:color="000000"/>
        <w:right w:val="single" w:sz="4" w:space="0" w:color="000000"/>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eastAsia="es-MX"/>
    </w:rPr>
  </w:style>
  <w:style w:type="paragraph" w:customStyle="1" w:styleId="xl83">
    <w:name w:val="xl83"/>
    <w:basedOn w:val="Normal"/>
    <w:rsid w:val="00B111AE"/>
    <w:pPr>
      <w:pBdr>
        <w:left w:val="single" w:sz="4" w:space="0" w:color="000000"/>
        <w:right w:val="single" w:sz="4" w:space="0" w:color="000000"/>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b/>
      <w:bCs/>
      <w:sz w:val="24"/>
      <w:szCs w:val="24"/>
      <w:lang w:eastAsia="es-MX"/>
    </w:rPr>
  </w:style>
  <w:style w:type="paragraph" w:customStyle="1" w:styleId="xl84">
    <w:name w:val="xl84"/>
    <w:basedOn w:val="Normal"/>
    <w:rsid w:val="00B111AE"/>
    <w:pPr>
      <w:pBdr>
        <w:left w:val="single" w:sz="4" w:space="0" w:color="000000"/>
        <w:right w:val="single" w:sz="4" w:space="0" w:color="000000"/>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b/>
      <w:bCs/>
      <w:sz w:val="24"/>
      <w:szCs w:val="24"/>
      <w:lang w:eastAsia="es-MX"/>
    </w:rPr>
  </w:style>
  <w:style w:type="paragraph" w:customStyle="1" w:styleId="xl85">
    <w:name w:val="xl85"/>
    <w:basedOn w:val="Normal"/>
    <w:rsid w:val="00B111AE"/>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16"/>
      <w:szCs w:val="16"/>
      <w:lang w:eastAsia="es-MX"/>
    </w:rPr>
  </w:style>
  <w:style w:type="paragraph" w:customStyle="1" w:styleId="xl86">
    <w:name w:val="xl86"/>
    <w:basedOn w:val="Normal"/>
    <w:rsid w:val="00B111AE"/>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16"/>
      <w:szCs w:val="16"/>
      <w:lang w:eastAsia="es-MX"/>
    </w:rPr>
  </w:style>
  <w:style w:type="paragraph" w:customStyle="1" w:styleId="xl87">
    <w:name w:val="xl87"/>
    <w:basedOn w:val="Normal"/>
    <w:rsid w:val="00B111AE"/>
    <w:pPr>
      <w:pBdr>
        <w:left w:val="single" w:sz="4" w:space="0" w:color="000000"/>
        <w:right w:val="single" w:sz="4" w:space="0" w:color="000000"/>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b/>
      <w:bCs/>
      <w:sz w:val="24"/>
      <w:szCs w:val="24"/>
      <w:lang w:eastAsia="es-MX"/>
    </w:rPr>
  </w:style>
  <w:style w:type="paragraph" w:customStyle="1" w:styleId="xl88">
    <w:name w:val="xl88"/>
    <w:basedOn w:val="Normal"/>
    <w:rsid w:val="00B111AE"/>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16"/>
      <w:szCs w:val="16"/>
      <w:lang w:eastAsia="es-MX"/>
    </w:rPr>
  </w:style>
  <w:style w:type="paragraph" w:customStyle="1" w:styleId="xl89">
    <w:name w:val="xl89"/>
    <w:basedOn w:val="Normal"/>
    <w:rsid w:val="00B111AE"/>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16"/>
      <w:szCs w:val="16"/>
      <w:lang w:eastAsia="es-MX"/>
    </w:rPr>
  </w:style>
  <w:style w:type="paragraph" w:customStyle="1" w:styleId="xl90">
    <w:name w:val="xl90"/>
    <w:basedOn w:val="Normal"/>
    <w:rsid w:val="00B111AE"/>
    <w:pPr>
      <w:pBdr>
        <w:left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16"/>
      <w:szCs w:val="16"/>
      <w:lang w:eastAsia="es-MX"/>
    </w:rPr>
  </w:style>
  <w:style w:type="paragraph" w:customStyle="1" w:styleId="xl91">
    <w:name w:val="xl91"/>
    <w:basedOn w:val="Normal"/>
    <w:rsid w:val="00B111AE"/>
    <w:pPr>
      <w:pBdr>
        <w:left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6"/>
      <w:szCs w:val="16"/>
      <w:lang w:eastAsia="es-MX"/>
    </w:rPr>
  </w:style>
  <w:style w:type="paragraph" w:customStyle="1" w:styleId="xl92">
    <w:name w:val="xl92"/>
    <w:basedOn w:val="Normal"/>
    <w:rsid w:val="00B111AE"/>
    <w:pP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es-MX"/>
    </w:rPr>
  </w:style>
  <w:style w:type="paragraph" w:customStyle="1" w:styleId="xl93">
    <w:name w:val="xl93"/>
    <w:basedOn w:val="Normal"/>
    <w:rsid w:val="00B111AE"/>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es-MX"/>
    </w:rPr>
  </w:style>
  <w:style w:type="paragraph" w:customStyle="1" w:styleId="xl94">
    <w:name w:val="xl94"/>
    <w:basedOn w:val="Normal"/>
    <w:rsid w:val="00B111AE"/>
    <w:pPr>
      <w:pBdr>
        <w:top w:val="single" w:sz="4" w:space="0" w:color="000000"/>
      </w:pBdr>
      <w:shd w:val="clear" w:color="000000" w:fill="BFBFBF"/>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es-MX"/>
    </w:rPr>
  </w:style>
  <w:style w:type="paragraph" w:customStyle="1" w:styleId="xl95">
    <w:name w:val="xl95"/>
    <w:basedOn w:val="Normal"/>
    <w:rsid w:val="00B111AE"/>
    <w:pPr>
      <w:pBdr>
        <w:top w:val="single" w:sz="4" w:space="0" w:color="000000"/>
        <w:right w:val="single" w:sz="4" w:space="0" w:color="000000"/>
      </w:pBdr>
      <w:shd w:val="clear" w:color="000000" w:fill="BFBFBF"/>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es-MX"/>
    </w:rPr>
  </w:style>
  <w:style w:type="paragraph" w:customStyle="1" w:styleId="xl149">
    <w:name w:val="xl149"/>
    <w:basedOn w:val="Normal"/>
    <w:rsid w:val="00F62ADB"/>
    <w:pPr>
      <w:shd w:val="clear" w:color="DCE6F1" w:fill="FFC000"/>
      <w:spacing w:before="100" w:beforeAutospacing="1" w:after="100" w:afterAutospacing="1" w:line="240" w:lineRule="auto"/>
      <w:textAlignment w:val="center"/>
    </w:pPr>
    <w:rPr>
      <w:rFonts w:ascii="Arial" w:eastAsia="Times New Roman" w:hAnsi="Arial" w:cs="Arial"/>
      <w:b/>
      <w:bCs/>
      <w:sz w:val="24"/>
      <w:szCs w:val="24"/>
      <w:lang w:eastAsia="es-MX"/>
    </w:rPr>
  </w:style>
  <w:style w:type="paragraph" w:customStyle="1" w:styleId="xl150">
    <w:name w:val="xl150"/>
    <w:basedOn w:val="Normal"/>
    <w:rsid w:val="00F62ADB"/>
    <w:pPr>
      <w:spacing w:before="100" w:beforeAutospacing="1" w:after="100" w:afterAutospacing="1" w:line="240" w:lineRule="auto"/>
      <w:jc w:val="left"/>
    </w:pPr>
    <w:rPr>
      <w:rFonts w:ascii="Arial" w:eastAsia="Times New Roman" w:hAnsi="Arial" w:cs="Arial"/>
      <w:sz w:val="24"/>
      <w:szCs w:val="24"/>
      <w:lang w:eastAsia="es-MX"/>
    </w:rPr>
  </w:style>
  <w:style w:type="paragraph" w:customStyle="1" w:styleId="xl151">
    <w:name w:val="xl151"/>
    <w:basedOn w:val="Normal"/>
    <w:rsid w:val="00F62ADB"/>
    <w:pPr>
      <w:spacing w:before="100" w:beforeAutospacing="1" w:after="100" w:afterAutospacing="1" w:line="240" w:lineRule="auto"/>
      <w:jc w:val="left"/>
    </w:pPr>
    <w:rPr>
      <w:rFonts w:ascii="Arial" w:eastAsia="Times New Roman" w:hAnsi="Arial" w:cs="Arial"/>
      <w:sz w:val="24"/>
      <w:szCs w:val="24"/>
      <w:lang w:eastAsia="es-MX"/>
    </w:rPr>
  </w:style>
  <w:style w:type="paragraph" w:customStyle="1" w:styleId="xl152">
    <w:name w:val="xl152"/>
    <w:basedOn w:val="Normal"/>
    <w:rsid w:val="00F62ADB"/>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53">
    <w:name w:val="xl153"/>
    <w:basedOn w:val="Normal"/>
    <w:rsid w:val="00F62ADB"/>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54">
    <w:name w:val="xl154"/>
    <w:basedOn w:val="Normal"/>
    <w:rsid w:val="00F62ADB"/>
    <w:pPr>
      <w:shd w:val="clear" w:color="FDE9D9" w:fill="FDE9D9"/>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155">
    <w:name w:val="xl155"/>
    <w:basedOn w:val="Normal"/>
    <w:rsid w:val="00F62ADB"/>
    <w:pPr>
      <w:shd w:val="clear" w:color="FDE9D9" w:fill="FDE9D9"/>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156">
    <w:name w:val="xl156"/>
    <w:basedOn w:val="Normal"/>
    <w:rsid w:val="00F62ADB"/>
    <w:pPr>
      <w:spacing w:before="100" w:beforeAutospacing="1" w:after="100" w:afterAutospacing="1" w:line="240" w:lineRule="auto"/>
      <w:ind w:firstLineChars="100" w:firstLine="100"/>
      <w:jc w:val="left"/>
    </w:pPr>
    <w:rPr>
      <w:rFonts w:ascii="Arial" w:eastAsia="Times New Roman" w:hAnsi="Arial" w:cs="Arial"/>
      <w:b/>
      <w:bCs/>
      <w:sz w:val="24"/>
      <w:szCs w:val="24"/>
      <w:lang w:eastAsia="es-MX"/>
    </w:rPr>
  </w:style>
  <w:style w:type="paragraph" w:customStyle="1" w:styleId="xl157">
    <w:name w:val="xl157"/>
    <w:basedOn w:val="Normal"/>
    <w:rsid w:val="00F62ADB"/>
    <w:pP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158">
    <w:name w:val="xl158"/>
    <w:basedOn w:val="Normal"/>
    <w:rsid w:val="00F62ADB"/>
    <w:pPr>
      <w:spacing w:before="100" w:beforeAutospacing="1" w:after="100" w:afterAutospacing="1" w:line="240" w:lineRule="auto"/>
      <w:ind w:firstLineChars="200" w:firstLine="200"/>
      <w:jc w:val="left"/>
    </w:pPr>
    <w:rPr>
      <w:rFonts w:ascii="Arial" w:eastAsia="Times New Roman" w:hAnsi="Arial" w:cs="Arial"/>
      <w:sz w:val="24"/>
      <w:szCs w:val="24"/>
      <w:lang w:eastAsia="es-MX"/>
    </w:rPr>
  </w:style>
  <w:style w:type="paragraph" w:customStyle="1" w:styleId="xl159">
    <w:name w:val="xl159"/>
    <w:basedOn w:val="Normal"/>
    <w:rsid w:val="00F62ADB"/>
    <w:pPr>
      <w:spacing w:before="100" w:beforeAutospacing="1" w:after="100" w:afterAutospacing="1" w:line="240" w:lineRule="auto"/>
    </w:pPr>
    <w:rPr>
      <w:rFonts w:ascii="Arial" w:eastAsia="Times New Roman" w:hAnsi="Arial" w:cs="Arial"/>
      <w:b/>
      <w:bCs/>
      <w:lang w:eastAsia="es-MX"/>
    </w:rPr>
  </w:style>
  <w:style w:type="paragraph" w:customStyle="1" w:styleId="xl160">
    <w:name w:val="xl160"/>
    <w:basedOn w:val="Normal"/>
    <w:rsid w:val="00F62ADB"/>
    <w:pPr>
      <w:spacing w:before="100" w:beforeAutospacing="1" w:after="100" w:afterAutospacing="1" w:line="240" w:lineRule="auto"/>
      <w:textAlignment w:val="center"/>
    </w:pPr>
    <w:rPr>
      <w:rFonts w:ascii="Arial" w:eastAsia="Times New Roman" w:hAnsi="Arial" w:cs="Arial"/>
      <w:b/>
      <w:bCs/>
      <w:lang w:eastAsia="es-MX"/>
    </w:rPr>
  </w:style>
  <w:style w:type="paragraph" w:customStyle="1" w:styleId="xl161">
    <w:name w:val="xl161"/>
    <w:basedOn w:val="Normal"/>
    <w:rsid w:val="00F62ADB"/>
    <w:pPr>
      <w:spacing w:before="100" w:beforeAutospacing="1" w:after="100" w:afterAutospacing="1" w:line="240" w:lineRule="auto"/>
      <w:jc w:val="left"/>
    </w:pPr>
    <w:rPr>
      <w:rFonts w:ascii="Agency FB" w:eastAsia="Times New Roman" w:hAnsi="Agency FB" w:cs="Times New Roman"/>
      <w:b/>
      <w:bCs/>
      <w:sz w:val="18"/>
      <w:szCs w:val="18"/>
      <w:lang w:eastAsia="es-MX"/>
    </w:rPr>
  </w:style>
  <w:style w:type="paragraph" w:customStyle="1" w:styleId="xl162">
    <w:name w:val="xl162"/>
    <w:basedOn w:val="Normal"/>
    <w:rsid w:val="00F62ADB"/>
    <w:pPr>
      <w:spacing w:before="100" w:beforeAutospacing="1" w:after="100" w:afterAutospacing="1" w:line="240" w:lineRule="auto"/>
      <w:ind w:firstLineChars="200" w:firstLine="200"/>
      <w:jc w:val="left"/>
    </w:pPr>
    <w:rPr>
      <w:rFonts w:ascii="Agency FB" w:eastAsia="Times New Roman" w:hAnsi="Agency FB" w:cs="Times New Roman"/>
      <w:sz w:val="18"/>
      <w:szCs w:val="18"/>
      <w:lang w:eastAsia="es-MX"/>
    </w:rPr>
  </w:style>
  <w:style w:type="paragraph" w:customStyle="1" w:styleId="xl163">
    <w:name w:val="xl163"/>
    <w:basedOn w:val="Normal"/>
    <w:rsid w:val="00F62ADB"/>
    <w:pPr>
      <w:spacing w:before="100" w:beforeAutospacing="1" w:after="100" w:afterAutospacing="1" w:line="240" w:lineRule="auto"/>
      <w:jc w:val="left"/>
    </w:pPr>
    <w:rPr>
      <w:rFonts w:ascii="Agency FB" w:eastAsia="Times New Roman" w:hAnsi="Agency FB" w:cs="Times New Roman"/>
      <w:sz w:val="18"/>
      <w:szCs w:val="18"/>
      <w:lang w:eastAsia="es-MX"/>
    </w:rPr>
  </w:style>
  <w:style w:type="paragraph" w:customStyle="1" w:styleId="xl170">
    <w:name w:val="xl170"/>
    <w:basedOn w:val="Normal"/>
    <w:rsid w:val="00E23BBE"/>
    <w:pPr>
      <w:spacing w:before="100" w:beforeAutospacing="1" w:after="100" w:afterAutospacing="1" w:line="240" w:lineRule="auto"/>
      <w:jc w:val="left"/>
    </w:pPr>
    <w:rPr>
      <w:rFonts w:ascii="Arial" w:eastAsia="Times New Roman" w:hAnsi="Arial" w:cs="Arial"/>
      <w:sz w:val="24"/>
      <w:szCs w:val="24"/>
      <w:lang w:eastAsia="es-MX"/>
    </w:rPr>
  </w:style>
  <w:style w:type="paragraph" w:customStyle="1" w:styleId="xl171">
    <w:name w:val="xl171"/>
    <w:basedOn w:val="Normal"/>
    <w:rsid w:val="00E23BBE"/>
    <w:pPr>
      <w:shd w:val="clear" w:color="FDE9D9" w:fill="FDE9D9"/>
      <w:spacing w:before="100" w:beforeAutospacing="1" w:after="100" w:afterAutospacing="1" w:line="240" w:lineRule="auto"/>
      <w:jc w:val="left"/>
    </w:pPr>
    <w:rPr>
      <w:rFonts w:ascii="Times New Roman" w:eastAsia="Times New Roman" w:hAnsi="Times New Roman" w:cs="Times New Roman"/>
      <w:b/>
      <w:bCs/>
      <w:lang w:eastAsia="es-MX"/>
    </w:rPr>
  </w:style>
  <w:style w:type="paragraph" w:customStyle="1" w:styleId="xl172">
    <w:name w:val="xl172"/>
    <w:basedOn w:val="Normal"/>
    <w:rsid w:val="00E23BBE"/>
    <w:pPr>
      <w:shd w:val="clear" w:color="FDE9D9" w:fill="FDE9D9"/>
      <w:spacing w:before="100" w:beforeAutospacing="1" w:after="100" w:afterAutospacing="1" w:line="240" w:lineRule="auto"/>
      <w:jc w:val="left"/>
    </w:pPr>
    <w:rPr>
      <w:rFonts w:ascii="Times New Roman" w:eastAsia="Times New Roman" w:hAnsi="Times New Roman" w:cs="Times New Roman"/>
      <w:b/>
      <w:bCs/>
      <w:lang w:eastAsia="es-MX"/>
    </w:rPr>
  </w:style>
  <w:style w:type="paragraph" w:customStyle="1" w:styleId="xl173">
    <w:name w:val="xl173"/>
    <w:basedOn w:val="Normal"/>
    <w:rsid w:val="00E23BBE"/>
    <w:pPr>
      <w:spacing w:before="100" w:beforeAutospacing="1" w:after="100" w:afterAutospacing="1" w:line="240" w:lineRule="auto"/>
      <w:ind w:firstLineChars="100" w:firstLine="100"/>
      <w:jc w:val="left"/>
    </w:pPr>
    <w:rPr>
      <w:rFonts w:ascii="Times New Roman" w:eastAsia="Times New Roman" w:hAnsi="Times New Roman" w:cs="Times New Roman"/>
      <w:b/>
      <w:bCs/>
      <w:lang w:eastAsia="es-MX"/>
    </w:rPr>
  </w:style>
  <w:style w:type="paragraph" w:customStyle="1" w:styleId="xl174">
    <w:name w:val="xl174"/>
    <w:basedOn w:val="Normal"/>
    <w:rsid w:val="00E23BBE"/>
    <w:pPr>
      <w:spacing w:before="100" w:beforeAutospacing="1" w:after="100" w:afterAutospacing="1" w:line="240" w:lineRule="auto"/>
      <w:jc w:val="left"/>
    </w:pPr>
    <w:rPr>
      <w:rFonts w:ascii="Times New Roman" w:eastAsia="Times New Roman" w:hAnsi="Times New Roman" w:cs="Times New Roman"/>
      <w:b/>
      <w:bCs/>
      <w:lang w:eastAsia="es-MX"/>
    </w:rPr>
  </w:style>
  <w:style w:type="paragraph" w:customStyle="1" w:styleId="xl175">
    <w:name w:val="xl175"/>
    <w:basedOn w:val="Normal"/>
    <w:rsid w:val="00E23BBE"/>
    <w:pPr>
      <w:spacing w:before="100" w:beforeAutospacing="1" w:after="100" w:afterAutospacing="1" w:line="240" w:lineRule="auto"/>
      <w:ind w:firstLineChars="200" w:firstLine="200"/>
      <w:jc w:val="left"/>
    </w:pPr>
    <w:rPr>
      <w:rFonts w:ascii="Times New Roman" w:eastAsia="Times New Roman" w:hAnsi="Times New Roman" w:cs="Times New Roman"/>
      <w:lang w:eastAsia="es-MX"/>
    </w:rPr>
  </w:style>
  <w:style w:type="paragraph" w:customStyle="1" w:styleId="xl176">
    <w:name w:val="xl176"/>
    <w:basedOn w:val="Normal"/>
    <w:rsid w:val="00E23BBE"/>
    <w:pPr>
      <w:spacing w:before="100" w:beforeAutospacing="1" w:after="100" w:afterAutospacing="1" w:line="240" w:lineRule="auto"/>
      <w:jc w:val="left"/>
    </w:pPr>
    <w:rPr>
      <w:rFonts w:ascii="Times New Roman" w:eastAsia="Times New Roman" w:hAnsi="Times New Roman" w:cs="Times New Roman"/>
      <w:lang w:eastAsia="es-MX"/>
    </w:rPr>
  </w:style>
  <w:style w:type="paragraph" w:customStyle="1" w:styleId="xl177">
    <w:name w:val="xl177"/>
    <w:basedOn w:val="Normal"/>
    <w:rsid w:val="00E23BBE"/>
    <w:pPr>
      <w:spacing w:before="100" w:beforeAutospacing="1" w:after="100" w:afterAutospacing="1" w:line="240" w:lineRule="auto"/>
      <w:jc w:val="left"/>
    </w:pPr>
    <w:rPr>
      <w:rFonts w:ascii="Arial" w:eastAsia="Times New Roman" w:hAnsi="Arial" w:cs="Arial"/>
      <w:lang w:eastAsia="es-MX"/>
    </w:rPr>
  </w:style>
  <w:style w:type="paragraph" w:customStyle="1" w:styleId="xl178">
    <w:name w:val="xl178"/>
    <w:basedOn w:val="Normal"/>
    <w:rsid w:val="00E23BBE"/>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79">
    <w:name w:val="xl179"/>
    <w:basedOn w:val="Normal"/>
    <w:rsid w:val="00E23BBE"/>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80">
    <w:name w:val="xl180"/>
    <w:basedOn w:val="Normal"/>
    <w:rsid w:val="00E23BBE"/>
    <w:pPr>
      <w:shd w:val="clear" w:color="DCE6F1" w:fill="9D2449"/>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181">
    <w:name w:val="xl181"/>
    <w:basedOn w:val="Normal"/>
    <w:rsid w:val="00E23BBE"/>
    <w:pPr>
      <w:shd w:val="clear" w:color="DCE6F1" w:fill="9D2449"/>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182">
    <w:name w:val="xl182"/>
    <w:basedOn w:val="Normal"/>
    <w:rsid w:val="00E23BBE"/>
    <w:pPr>
      <w:shd w:val="clear" w:color="DCE6F1" w:fill="9D2449"/>
      <w:spacing w:before="100" w:beforeAutospacing="1" w:after="100" w:afterAutospacing="1" w:line="240" w:lineRule="auto"/>
      <w:jc w:val="left"/>
      <w:textAlignment w:val="center"/>
    </w:pPr>
    <w:rPr>
      <w:rFonts w:ascii="Arial" w:eastAsia="Times New Roman" w:hAnsi="Arial" w:cs="Arial"/>
      <w:b/>
      <w:bCs/>
      <w:sz w:val="24"/>
      <w:szCs w:val="24"/>
      <w:lang w:eastAsia="es-MX"/>
    </w:rPr>
  </w:style>
  <w:style w:type="paragraph" w:customStyle="1" w:styleId="xl183">
    <w:name w:val="xl183"/>
    <w:basedOn w:val="Normal"/>
    <w:rsid w:val="00E23BBE"/>
    <w:pPr>
      <w:shd w:val="clear" w:color="FDE9D9" w:fill="B38E5D"/>
      <w:spacing w:before="100" w:beforeAutospacing="1" w:after="100" w:afterAutospacing="1" w:line="240" w:lineRule="auto"/>
      <w:jc w:val="left"/>
    </w:pPr>
    <w:rPr>
      <w:rFonts w:ascii="Times New Roman" w:eastAsia="Times New Roman" w:hAnsi="Times New Roman" w:cs="Times New Roman"/>
      <w:b/>
      <w:bCs/>
      <w:lang w:eastAsia="es-MX"/>
    </w:rPr>
  </w:style>
  <w:style w:type="paragraph" w:customStyle="1" w:styleId="xl184">
    <w:name w:val="xl184"/>
    <w:basedOn w:val="Normal"/>
    <w:rsid w:val="00E23BBE"/>
    <w:pPr>
      <w:shd w:val="clear" w:color="FDE9D9" w:fill="B38E5D"/>
      <w:spacing w:before="100" w:beforeAutospacing="1" w:after="100" w:afterAutospacing="1" w:line="240" w:lineRule="auto"/>
      <w:jc w:val="left"/>
    </w:pPr>
    <w:rPr>
      <w:rFonts w:ascii="Times New Roman" w:eastAsia="Times New Roman" w:hAnsi="Times New Roman" w:cs="Times New Roman"/>
      <w:b/>
      <w:bCs/>
      <w:lang w:eastAsia="es-MX"/>
    </w:rPr>
  </w:style>
  <w:style w:type="paragraph" w:customStyle="1" w:styleId="xl185">
    <w:name w:val="xl185"/>
    <w:basedOn w:val="Normal"/>
    <w:rsid w:val="00A06DF7"/>
    <w:pPr>
      <w:shd w:val="clear" w:color="FDE9D9" w:fill="FDE9D9"/>
      <w:spacing w:before="100" w:beforeAutospacing="1" w:after="100" w:afterAutospacing="1" w:line="240" w:lineRule="auto"/>
      <w:jc w:val="left"/>
    </w:pPr>
    <w:rPr>
      <w:rFonts w:ascii="Agency FB" w:eastAsia="Times New Roman" w:hAnsi="Agency FB" w:cs="Times New Roman"/>
      <w:b/>
      <w:bCs/>
      <w:lang w:eastAsia="es-MX"/>
    </w:rPr>
  </w:style>
  <w:style w:type="paragraph" w:customStyle="1" w:styleId="xl186">
    <w:name w:val="xl186"/>
    <w:basedOn w:val="Normal"/>
    <w:rsid w:val="00A06DF7"/>
    <w:pPr>
      <w:shd w:val="clear" w:color="FDE9D9" w:fill="FDE9D9"/>
      <w:spacing w:before="100" w:beforeAutospacing="1" w:after="100" w:afterAutospacing="1" w:line="240" w:lineRule="auto"/>
      <w:jc w:val="left"/>
    </w:pPr>
    <w:rPr>
      <w:rFonts w:ascii="Agency FB" w:eastAsia="Times New Roman" w:hAnsi="Agency FB" w:cs="Times New Roman"/>
      <w:b/>
      <w:bCs/>
      <w:lang w:eastAsia="es-MX"/>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161DD0"/>
    <w:rPr>
      <w:b/>
      <w:bCs/>
    </w:rPr>
  </w:style>
  <w:style w:type="character" w:customStyle="1" w:styleId="AsuntodelcomentarioCar">
    <w:name w:val="Asunto del comentario Car"/>
    <w:basedOn w:val="TextocomentarioCar"/>
    <w:link w:val="Asuntodelcomentario"/>
    <w:uiPriority w:val="99"/>
    <w:semiHidden/>
    <w:rsid w:val="00161D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87">
      <w:bodyDiv w:val="1"/>
      <w:marLeft w:val="0"/>
      <w:marRight w:val="0"/>
      <w:marTop w:val="0"/>
      <w:marBottom w:val="0"/>
      <w:divBdr>
        <w:top w:val="none" w:sz="0" w:space="0" w:color="auto"/>
        <w:left w:val="none" w:sz="0" w:space="0" w:color="auto"/>
        <w:bottom w:val="none" w:sz="0" w:space="0" w:color="auto"/>
        <w:right w:val="none" w:sz="0" w:space="0" w:color="auto"/>
      </w:divBdr>
    </w:div>
    <w:div w:id="3243147">
      <w:bodyDiv w:val="1"/>
      <w:marLeft w:val="0"/>
      <w:marRight w:val="0"/>
      <w:marTop w:val="0"/>
      <w:marBottom w:val="0"/>
      <w:divBdr>
        <w:top w:val="none" w:sz="0" w:space="0" w:color="auto"/>
        <w:left w:val="none" w:sz="0" w:space="0" w:color="auto"/>
        <w:bottom w:val="none" w:sz="0" w:space="0" w:color="auto"/>
        <w:right w:val="none" w:sz="0" w:space="0" w:color="auto"/>
      </w:divBdr>
    </w:div>
    <w:div w:id="6101613">
      <w:bodyDiv w:val="1"/>
      <w:marLeft w:val="0"/>
      <w:marRight w:val="0"/>
      <w:marTop w:val="0"/>
      <w:marBottom w:val="0"/>
      <w:divBdr>
        <w:top w:val="none" w:sz="0" w:space="0" w:color="auto"/>
        <w:left w:val="none" w:sz="0" w:space="0" w:color="auto"/>
        <w:bottom w:val="none" w:sz="0" w:space="0" w:color="auto"/>
        <w:right w:val="none" w:sz="0" w:space="0" w:color="auto"/>
      </w:divBdr>
    </w:div>
    <w:div w:id="6444558">
      <w:bodyDiv w:val="1"/>
      <w:marLeft w:val="0"/>
      <w:marRight w:val="0"/>
      <w:marTop w:val="0"/>
      <w:marBottom w:val="0"/>
      <w:divBdr>
        <w:top w:val="none" w:sz="0" w:space="0" w:color="auto"/>
        <w:left w:val="none" w:sz="0" w:space="0" w:color="auto"/>
        <w:bottom w:val="none" w:sz="0" w:space="0" w:color="auto"/>
        <w:right w:val="none" w:sz="0" w:space="0" w:color="auto"/>
      </w:divBdr>
    </w:div>
    <w:div w:id="6448411">
      <w:bodyDiv w:val="1"/>
      <w:marLeft w:val="0"/>
      <w:marRight w:val="0"/>
      <w:marTop w:val="0"/>
      <w:marBottom w:val="0"/>
      <w:divBdr>
        <w:top w:val="none" w:sz="0" w:space="0" w:color="auto"/>
        <w:left w:val="none" w:sz="0" w:space="0" w:color="auto"/>
        <w:bottom w:val="none" w:sz="0" w:space="0" w:color="auto"/>
        <w:right w:val="none" w:sz="0" w:space="0" w:color="auto"/>
      </w:divBdr>
    </w:div>
    <w:div w:id="9530762">
      <w:bodyDiv w:val="1"/>
      <w:marLeft w:val="0"/>
      <w:marRight w:val="0"/>
      <w:marTop w:val="0"/>
      <w:marBottom w:val="0"/>
      <w:divBdr>
        <w:top w:val="none" w:sz="0" w:space="0" w:color="auto"/>
        <w:left w:val="none" w:sz="0" w:space="0" w:color="auto"/>
        <w:bottom w:val="none" w:sz="0" w:space="0" w:color="auto"/>
        <w:right w:val="none" w:sz="0" w:space="0" w:color="auto"/>
      </w:divBdr>
      <w:divsChild>
        <w:div w:id="1999456665">
          <w:marLeft w:val="0"/>
          <w:marRight w:val="0"/>
          <w:marTop w:val="0"/>
          <w:marBottom w:val="0"/>
          <w:divBdr>
            <w:top w:val="none" w:sz="0" w:space="0" w:color="auto"/>
            <w:left w:val="none" w:sz="0" w:space="0" w:color="auto"/>
            <w:bottom w:val="none" w:sz="0" w:space="0" w:color="auto"/>
            <w:right w:val="none" w:sz="0" w:space="0" w:color="auto"/>
          </w:divBdr>
          <w:divsChild>
            <w:div w:id="414783209">
              <w:marLeft w:val="0"/>
              <w:marRight w:val="0"/>
              <w:marTop w:val="0"/>
              <w:marBottom w:val="0"/>
              <w:divBdr>
                <w:top w:val="none" w:sz="0" w:space="0" w:color="auto"/>
                <w:left w:val="none" w:sz="0" w:space="0" w:color="auto"/>
                <w:bottom w:val="none" w:sz="0" w:space="0" w:color="auto"/>
                <w:right w:val="none" w:sz="0" w:space="0" w:color="auto"/>
              </w:divBdr>
              <w:divsChild>
                <w:div w:id="1054819620">
                  <w:marLeft w:val="0"/>
                  <w:marRight w:val="0"/>
                  <w:marTop w:val="225"/>
                  <w:marBottom w:val="0"/>
                  <w:divBdr>
                    <w:top w:val="none" w:sz="0" w:space="0" w:color="auto"/>
                    <w:left w:val="none" w:sz="0" w:space="0" w:color="auto"/>
                    <w:bottom w:val="none" w:sz="0" w:space="0" w:color="auto"/>
                    <w:right w:val="dotted" w:sz="6" w:space="1" w:color="666666"/>
                  </w:divBdr>
                  <w:divsChild>
                    <w:div w:id="690182135">
                      <w:marLeft w:val="150"/>
                      <w:marRight w:val="210"/>
                      <w:marTop w:val="0"/>
                      <w:marBottom w:val="0"/>
                      <w:divBdr>
                        <w:top w:val="none" w:sz="0" w:space="0" w:color="auto"/>
                        <w:left w:val="none" w:sz="0" w:space="0" w:color="auto"/>
                        <w:bottom w:val="none" w:sz="0" w:space="0" w:color="auto"/>
                        <w:right w:val="none" w:sz="0" w:space="0" w:color="auto"/>
                      </w:divBdr>
                      <w:divsChild>
                        <w:div w:id="1137184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182439">
      <w:bodyDiv w:val="1"/>
      <w:marLeft w:val="0"/>
      <w:marRight w:val="0"/>
      <w:marTop w:val="0"/>
      <w:marBottom w:val="0"/>
      <w:divBdr>
        <w:top w:val="none" w:sz="0" w:space="0" w:color="auto"/>
        <w:left w:val="none" w:sz="0" w:space="0" w:color="auto"/>
        <w:bottom w:val="none" w:sz="0" w:space="0" w:color="auto"/>
        <w:right w:val="none" w:sz="0" w:space="0" w:color="auto"/>
      </w:divBdr>
    </w:div>
    <w:div w:id="10691293">
      <w:bodyDiv w:val="1"/>
      <w:marLeft w:val="0"/>
      <w:marRight w:val="0"/>
      <w:marTop w:val="0"/>
      <w:marBottom w:val="0"/>
      <w:divBdr>
        <w:top w:val="none" w:sz="0" w:space="0" w:color="auto"/>
        <w:left w:val="none" w:sz="0" w:space="0" w:color="auto"/>
        <w:bottom w:val="none" w:sz="0" w:space="0" w:color="auto"/>
        <w:right w:val="none" w:sz="0" w:space="0" w:color="auto"/>
      </w:divBdr>
    </w:div>
    <w:div w:id="13697903">
      <w:bodyDiv w:val="1"/>
      <w:marLeft w:val="0"/>
      <w:marRight w:val="0"/>
      <w:marTop w:val="0"/>
      <w:marBottom w:val="0"/>
      <w:divBdr>
        <w:top w:val="none" w:sz="0" w:space="0" w:color="auto"/>
        <w:left w:val="none" w:sz="0" w:space="0" w:color="auto"/>
        <w:bottom w:val="none" w:sz="0" w:space="0" w:color="auto"/>
        <w:right w:val="none" w:sz="0" w:space="0" w:color="auto"/>
      </w:divBdr>
    </w:div>
    <w:div w:id="24454373">
      <w:bodyDiv w:val="1"/>
      <w:marLeft w:val="0"/>
      <w:marRight w:val="0"/>
      <w:marTop w:val="0"/>
      <w:marBottom w:val="0"/>
      <w:divBdr>
        <w:top w:val="none" w:sz="0" w:space="0" w:color="auto"/>
        <w:left w:val="none" w:sz="0" w:space="0" w:color="auto"/>
        <w:bottom w:val="none" w:sz="0" w:space="0" w:color="auto"/>
        <w:right w:val="none" w:sz="0" w:space="0" w:color="auto"/>
      </w:divBdr>
    </w:div>
    <w:div w:id="24865144">
      <w:bodyDiv w:val="1"/>
      <w:marLeft w:val="0"/>
      <w:marRight w:val="0"/>
      <w:marTop w:val="0"/>
      <w:marBottom w:val="0"/>
      <w:divBdr>
        <w:top w:val="none" w:sz="0" w:space="0" w:color="auto"/>
        <w:left w:val="none" w:sz="0" w:space="0" w:color="auto"/>
        <w:bottom w:val="none" w:sz="0" w:space="0" w:color="auto"/>
        <w:right w:val="none" w:sz="0" w:space="0" w:color="auto"/>
      </w:divBdr>
    </w:div>
    <w:div w:id="26026771">
      <w:bodyDiv w:val="1"/>
      <w:marLeft w:val="0"/>
      <w:marRight w:val="0"/>
      <w:marTop w:val="0"/>
      <w:marBottom w:val="0"/>
      <w:divBdr>
        <w:top w:val="none" w:sz="0" w:space="0" w:color="auto"/>
        <w:left w:val="none" w:sz="0" w:space="0" w:color="auto"/>
        <w:bottom w:val="none" w:sz="0" w:space="0" w:color="auto"/>
        <w:right w:val="none" w:sz="0" w:space="0" w:color="auto"/>
      </w:divBdr>
    </w:div>
    <w:div w:id="31856020">
      <w:bodyDiv w:val="1"/>
      <w:marLeft w:val="0"/>
      <w:marRight w:val="0"/>
      <w:marTop w:val="0"/>
      <w:marBottom w:val="0"/>
      <w:divBdr>
        <w:top w:val="none" w:sz="0" w:space="0" w:color="auto"/>
        <w:left w:val="none" w:sz="0" w:space="0" w:color="auto"/>
        <w:bottom w:val="none" w:sz="0" w:space="0" w:color="auto"/>
        <w:right w:val="none" w:sz="0" w:space="0" w:color="auto"/>
      </w:divBdr>
    </w:div>
    <w:div w:id="38012529">
      <w:bodyDiv w:val="1"/>
      <w:marLeft w:val="0"/>
      <w:marRight w:val="0"/>
      <w:marTop w:val="0"/>
      <w:marBottom w:val="0"/>
      <w:divBdr>
        <w:top w:val="none" w:sz="0" w:space="0" w:color="auto"/>
        <w:left w:val="none" w:sz="0" w:space="0" w:color="auto"/>
        <w:bottom w:val="none" w:sz="0" w:space="0" w:color="auto"/>
        <w:right w:val="none" w:sz="0" w:space="0" w:color="auto"/>
      </w:divBdr>
    </w:div>
    <w:div w:id="42217855">
      <w:bodyDiv w:val="1"/>
      <w:marLeft w:val="0"/>
      <w:marRight w:val="0"/>
      <w:marTop w:val="0"/>
      <w:marBottom w:val="0"/>
      <w:divBdr>
        <w:top w:val="none" w:sz="0" w:space="0" w:color="auto"/>
        <w:left w:val="none" w:sz="0" w:space="0" w:color="auto"/>
        <w:bottom w:val="none" w:sz="0" w:space="0" w:color="auto"/>
        <w:right w:val="none" w:sz="0" w:space="0" w:color="auto"/>
      </w:divBdr>
    </w:div>
    <w:div w:id="45615896">
      <w:bodyDiv w:val="1"/>
      <w:marLeft w:val="0"/>
      <w:marRight w:val="0"/>
      <w:marTop w:val="0"/>
      <w:marBottom w:val="0"/>
      <w:divBdr>
        <w:top w:val="none" w:sz="0" w:space="0" w:color="auto"/>
        <w:left w:val="none" w:sz="0" w:space="0" w:color="auto"/>
        <w:bottom w:val="none" w:sz="0" w:space="0" w:color="auto"/>
        <w:right w:val="none" w:sz="0" w:space="0" w:color="auto"/>
      </w:divBdr>
    </w:div>
    <w:div w:id="49501240">
      <w:bodyDiv w:val="1"/>
      <w:marLeft w:val="0"/>
      <w:marRight w:val="0"/>
      <w:marTop w:val="0"/>
      <w:marBottom w:val="0"/>
      <w:divBdr>
        <w:top w:val="none" w:sz="0" w:space="0" w:color="auto"/>
        <w:left w:val="none" w:sz="0" w:space="0" w:color="auto"/>
        <w:bottom w:val="none" w:sz="0" w:space="0" w:color="auto"/>
        <w:right w:val="none" w:sz="0" w:space="0" w:color="auto"/>
      </w:divBdr>
    </w:div>
    <w:div w:id="55205328">
      <w:bodyDiv w:val="1"/>
      <w:marLeft w:val="0"/>
      <w:marRight w:val="0"/>
      <w:marTop w:val="0"/>
      <w:marBottom w:val="0"/>
      <w:divBdr>
        <w:top w:val="none" w:sz="0" w:space="0" w:color="auto"/>
        <w:left w:val="none" w:sz="0" w:space="0" w:color="auto"/>
        <w:bottom w:val="none" w:sz="0" w:space="0" w:color="auto"/>
        <w:right w:val="none" w:sz="0" w:space="0" w:color="auto"/>
      </w:divBdr>
    </w:div>
    <w:div w:id="56124466">
      <w:bodyDiv w:val="1"/>
      <w:marLeft w:val="0"/>
      <w:marRight w:val="0"/>
      <w:marTop w:val="0"/>
      <w:marBottom w:val="0"/>
      <w:divBdr>
        <w:top w:val="none" w:sz="0" w:space="0" w:color="auto"/>
        <w:left w:val="none" w:sz="0" w:space="0" w:color="auto"/>
        <w:bottom w:val="none" w:sz="0" w:space="0" w:color="auto"/>
        <w:right w:val="none" w:sz="0" w:space="0" w:color="auto"/>
      </w:divBdr>
    </w:div>
    <w:div w:id="60444887">
      <w:bodyDiv w:val="1"/>
      <w:marLeft w:val="0"/>
      <w:marRight w:val="0"/>
      <w:marTop w:val="0"/>
      <w:marBottom w:val="0"/>
      <w:divBdr>
        <w:top w:val="none" w:sz="0" w:space="0" w:color="auto"/>
        <w:left w:val="none" w:sz="0" w:space="0" w:color="auto"/>
        <w:bottom w:val="none" w:sz="0" w:space="0" w:color="auto"/>
        <w:right w:val="none" w:sz="0" w:space="0" w:color="auto"/>
      </w:divBdr>
    </w:div>
    <w:div w:id="63842445">
      <w:bodyDiv w:val="1"/>
      <w:marLeft w:val="0"/>
      <w:marRight w:val="0"/>
      <w:marTop w:val="0"/>
      <w:marBottom w:val="0"/>
      <w:divBdr>
        <w:top w:val="none" w:sz="0" w:space="0" w:color="auto"/>
        <w:left w:val="none" w:sz="0" w:space="0" w:color="auto"/>
        <w:bottom w:val="none" w:sz="0" w:space="0" w:color="auto"/>
        <w:right w:val="none" w:sz="0" w:space="0" w:color="auto"/>
      </w:divBdr>
    </w:div>
    <w:div w:id="65733749">
      <w:bodyDiv w:val="1"/>
      <w:marLeft w:val="0"/>
      <w:marRight w:val="0"/>
      <w:marTop w:val="0"/>
      <w:marBottom w:val="0"/>
      <w:divBdr>
        <w:top w:val="none" w:sz="0" w:space="0" w:color="auto"/>
        <w:left w:val="none" w:sz="0" w:space="0" w:color="auto"/>
        <w:bottom w:val="none" w:sz="0" w:space="0" w:color="auto"/>
        <w:right w:val="none" w:sz="0" w:space="0" w:color="auto"/>
      </w:divBdr>
    </w:div>
    <w:div w:id="66852253">
      <w:bodyDiv w:val="1"/>
      <w:marLeft w:val="0"/>
      <w:marRight w:val="0"/>
      <w:marTop w:val="0"/>
      <w:marBottom w:val="0"/>
      <w:divBdr>
        <w:top w:val="none" w:sz="0" w:space="0" w:color="auto"/>
        <w:left w:val="none" w:sz="0" w:space="0" w:color="auto"/>
        <w:bottom w:val="none" w:sz="0" w:space="0" w:color="auto"/>
        <w:right w:val="none" w:sz="0" w:space="0" w:color="auto"/>
      </w:divBdr>
    </w:div>
    <w:div w:id="69276723">
      <w:bodyDiv w:val="1"/>
      <w:marLeft w:val="0"/>
      <w:marRight w:val="0"/>
      <w:marTop w:val="0"/>
      <w:marBottom w:val="0"/>
      <w:divBdr>
        <w:top w:val="none" w:sz="0" w:space="0" w:color="auto"/>
        <w:left w:val="none" w:sz="0" w:space="0" w:color="auto"/>
        <w:bottom w:val="none" w:sz="0" w:space="0" w:color="auto"/>
        <w:right w:val="none" w:sz="0" w:space="0" w:color="auto"/>
      </w:divBdr>
    </w:div>
    <w:div w:id="69547120">
      <w:bodyDiv w:val="1"/>
      <w:marLeft w:val="0"/>
      <w:marRight w:val="0"/>
      <w:marTop w:val="0"/>
      <w:marBottom w:val="0"/>
      <w:divBdr>
        <w:top w:val="none" w:sz="0" w:space="0" w:color="auto"/>
        <w:left w:val="none" w:sz="0" w:space="0" w:color="auto"/>
        <w:bottom w:val="none" w:sz="0" w:space="0" w:color="auto"/>
        <w:right w:val="none" w:sz="0" w:space="0" w:color="auto"/>
      </w:divBdr>
    </w:div>
    <w:div w:id="72047241">
      <w:bodyDiv w:val="1"/>
      <w:marLeft w:val="0"/>
      <w:marRight w:val="0"/>
      <w:marTop w:val="0"/>
      <w:marBottom w:val="0"/>
      <w:divBdr>
        <w:top w:val="none" w:sz="0" w:space="0" w:color="auto"/>
        <w:left w:val="none" w:sz="0" w:space="0" w:color="auto"/>
        <w:bottom w:val="none" w:sz="0" w:space="0" w:color="auto"/>
        <w:right w:val="none" w:sz="0" w:space="0" w:color="auto"/>
      </w:divBdr>
    </w:div>
    <w:div w:id="73287346">
      <w:bodyDiv w:val="1"/>
      <w:marLeft w:val="0"/>
      <w:marRight w:val="0"/>
      <w:marTop w:val="0"/>
      <w:marBottom w:val="0"/>
      <w:divBdr>
        <w:top w:val="none" w:sz="0" w:space="0" w:color="auto"/>
        <w:left w:val="none" w:sz="0" w:space="0" w:color="auto"/>
        <w:bottom w:val="none" w:sz="0" w:space="0" w:color="auto"/>
        <w:right w:val="none" w:sz="0" w:space="0" w:color="auto"/>
      </w:divBdr>
    </w:div>
    <w:div w:id="76097554">
      <w:bodyDiv w:val="1"/>
      <w:marLeft w:val="0"/>
      <w:marRight w:val="0"/>
      <w:marTop w:val="0"/>
      <w:marBottom w:val="0"/>
      <w:divBdr>
        <w:top w:val="none" w:sz="0" w:space="0" w:color="auto"/>
        <w:left w:val="none" w:sz="0" w:space="0" w:color="auto"/>
        <w:bottom w:val="none" w:sz="0" w:space="0" w:color="auto"/>
        <w:right w:val="none" w:sz="0" w:space="0" w:color="auto"/>
      </w:divBdr>
    </w:div>
    <w:div w:id="76558372">
      <w:bodyDiv w:val="1"/>
      <w:marLeft w:val="0"/>
      <w:marRight w:val="0"/>
      <w:marTop w:val="0"/>
      <w:marBottom w:val="0"/>
      <w:divBdr>
        <w:top w:val="none" w:sz="0" w:space="0" w:color="auto"/>
        <w:left w:val="none" w:sz="0" w:space="0" w:color="auto"/>
        <w:bottom w:val="none" w:sz="0" w:space="0" w:color="auto"/>
        <w:right w:val="none" w:sz="0" w:space="0" w:color="auto"/>
      </w:divBdr>
    </w:div>
    <w:div w:id="80374338">
      <w:bodyDiv w:val="1"/>
      <w:marLeft w:val="0"/>
      <w:marRight w:val="0"/>
      <w:marTop w:val="0"/>
      <w:marBottom w:val="0"/>
      <w:divBdr>
        <w:top w:val="none" w:sz="0" w:space="0" w:color="auto"/>
        <w:left w:val="none" w:sz="0" w:space="0" w:color="auto"/>
        <w:bottom w:val="none" w:sz="0" w:space="0" w:color="auto"/>
        <w:right w:val="none" w:sz="0" w:space="0" w:color="auto"/>
      </w:divBdr>
    </w:div>
    <w:div w:id="81723432">
      <w:bodyDiv w:val="1"/>
      <w:marLeft w:val="0"/>
      <w:marRight w:val="0"/>
      <w:marTop w:val="0"/>
      <w:marBottom w:val="0"/>
      <w:divBdr>
        <w:top w:val="none" w:sz="0" w:space="0" w:color="auto"/>
        <w:left w:val="none" w:sz="0" w:space="0" w:color="auto"/>
        <w:bottom w:val="none" w:sz="0" w:space="0" w:color="auto"/>
        <w:right w:val="none" w:sz="0" w:space="0" w:color="auto"/>
      </w:divBdr>
    </w:div>
    <w:div w:id="97069520">
      <w:bodyDiv w:val="1"/>
      <w:marLeft w:val="0"/>
      <w:marRight w:val="0"/>
      <w:marTop w:val="0"/>
      <w:marBottom w:val="0"/>
      <w:divBdr>
        <w:top w:val="none" w:sz="0" w:space="0" w:color="auto"/>
        <w:left w:val="none" w:sz="0" w:space="0" w:color="auto"/>
        <w:bottom w:val="none" w:sz="0" w:space="0" w:color="auto"/>
        <w:right w:val="none" w:sz="0" w:space="0" w:color="auto"/>
      </w:divBdr>
    </w:div>
    <w:div w:id="97677089">
      <w:bodyDiv w:val="1"/>
      <w:marLeft w:val="0"/>
      <w:marRight w:val="0"/>
      <w:marTop w:val="0"/>
      <w:marBottom w:val="0"/>
      <w:divBdr>
        <w:top w:val="none" w:sz="0" w:space="0" w:color="auto"/>
        <w:left w:val="none" w:sz="0" w:space="0" w:color="auto"/>
        <w:bottom w:val="none" w:sz="0" w:space="0" w:color="auto"/>
        <w:right w:val="none" w:sz="0" w:space="0" w:color="auto"/>
      </w:divBdr>
    </w:div>
    <w:div w:id="97991354">
      <w:bodyDiv w:val="1"/>
      <w:marLeft w:val="0"/>
      <w:marRight w:val="0"/>
      <w:marTop w:val="0"/>
      <w:marBottom w:val="0"/>
      <w:divBdr>
        <w:top w:val="none" w:sz="0" w:space="0" w:color="auto"/>
        <w:left w:val="none" w:sz="0" w:space="0" w:color="auto"/>
        <w:bottom w:val="none" w:sz="0" w:space="0" w:color="auto"/>
        <w:right w:val="none" w:sz="0" w:space="0" w:color="auto"/>
      </w:divBdr>
    </w:div>
    <w:div w:id="105776899">
      <w:bodyDiv w:val="1"/>
      <w:marLeft w:val="0"/>
      <w:marRight w:val="0"/>
      <w:marTop w:val="0"/>
      <w:marBottom w:val="0"/>
      <w:divBdr>
        <w:top w:val="none" w:sz="0" w:space="0" w:color="auto"/>
        <w:left w:val="none" w:sz="0" w:space="0" w:color="auto"/>
        <w:bottom w:val="none" w:sz="0" w:space="0" w:color="auto"/>
        <w:right w:val="none" w:sz="0" w:space="0" w:color="auto"/>
      </w:divBdr>
    </w:div>
    <w:div w:id="108861442">
      <w:bodyDiv w:val="1"/>
      <w:marLeft w:val="0"/>
      <w:marRight w:val="0"/>
      <w:marTop w:val="0"/>
      <w:marBottom w:val="0"/>
      <w:divBdr>
        <w:top w:val="none" w:sz="0" w:space="0" w:color="auto"/>
        <w:left w:val="none" w:sz="0" w:space="0" w:color="auto"/>
        <w:bottom w:val="none" w:sz="0" w:space="0" w:color="auto"/>
        <w:right w:val="none" w:sz="0" w:space="0" w:color="auto"/>
      </w:divBdr>
    </w:div>
    <w:div w:id="111050309">
      <w:bodyDiv w:val="1"/>
      <w:marLeft w:val="0"/>
      <w:marRight w:val="0"/>
      <w:marTop w:val="0"/>
      <w:marBottom w:val="0"/>
      <w:divBdr>
        <w:top w:val="none" w:sz="0" w:space="0" w:color="auto"/>
        <w:left w:val="none" w:sz="0" w:space="0" w:color="auto"/>
        <w:bottom w:val="none" w:sz="0" w:space="0" w:color="auto"/>
        <w:right w:val="none" w:sz="0" w:space="0" w:color="auto"/>
      </w:divBdr>
    </w:div>
    <w:div w:id="115880863">
      <w:bodyDiv w:val="1"/>
      <w:marLeft w:val="0"/>
      <w:marRight w:val="0"/>
      <w:marTop w:val="0"/>
      <w:marBottom w:val="0"/>
      <w:divBdr>
        <w:top w:val="none" w:sz="0" w:space="0" w:color="auto"/>
        <w:left w:val="none" w:sz="0" w:space="0" w:color="auto"/>
        <w:bottom w:val="none" w:sz="0" w:space="0" w:color="auto"/>
        <w:right w:val="none" w:sz="0" w:space="0" w:color="auto"/>
      </w:divBdr>
    </w:div>
    <w:div w:id="116487515">
      <w:bodyDiv w:val="1"/>
      <w:marLeft w:val="0"/>
      <w:marRight w:val="0"/>
      <w:marTop w:val="0"/>
      <w:marBottom w:val="0"/>
      <w:divBdr>
        <w:top w:val="none" w:sz="0" w:space="0" w:color="auto"/>
        <w:left w:val="none" w:sz="0" w:space="0" w:color="auto"/>
        <w:bottom w:val="none" w:sz="0" w:space="0" w:color="auto"/>
        <w:right w:val="none" w:sz="0" w:space="0" w:color="auto"/>
      </w:divBdr>
    </w:div>
    <w:div w:id="120346108">
      <w:bodyDiv w:val="1"/>
      <w:marLeft w:val="0"/>
      <w:marRight w:val="0"/>
      <w:marTop w:val="0"/>
      <w:marBottom w:val="0"/>
      <w:divBdr>
        <w:top w:val="none" w:sz="0" w:space="0" w:color="auto"/>
        <w:left w:val="none" w:sz="0" w:space="0" w:color="auto"/>
        <w:bottom w:val="none" w:sz="0" w:space="0" w:color="auto"/>
        <w:right w:val="none" w:sz="0" w:space="0" w:color="auto"/>
      </w:divBdr>
    </w:div>
    <w:div w:id="122113169">
      <w:bodyDiv w:val="1"/>
      <w:marLeft w:val="0"/>
      <w:marRight w:val="0"/>
      <w:marTop w:val="0"/>
      <w:marBottom w:val="0"/>
      <w:divBdr>
        <w:top w:val="none" w:sz="0" w:space="0" w:color="auto"/>
        <w:left w:val="none" w:sz="0" w:space="0" w:color="auto"/>
        <w:bottom w:val="none" w:sz="0" w:space="0" w:color="auto"/>
        <w:right w:val="none" w:sz="0" w:space="0" w:color="auto"/>
      </w:divBdr>
    </w:div>
    <w:div w:id="124281439">
      <w:bodyDiv w:val="1"/>
      <w:marLeft w:val="0"/>
      <w:marRight w:val="0"/>
      <w:marTop w:val="0"/>
      <w:marBottom w:val="0"/>
      <w:divBdr>
        <w:top w:val="none" w:sz="0" w:space="0" w:color="auto"/>
        <w:left w:val="none" w:sz="0" w:space="0" w:color="auto"/>
        <w:bottom w:val="none" w:sz="0" w:space="0" w:color="auto"/>
        <w:right w:val="none" w:sz="0" w:space="0" w:color="auto"/>
      </w:divBdr>
    </w:div>
    <w:div w:id="130561074">
      <w:bodyDiv w:val="1"/>
      <w:marLeft w:val="0"/>
      <w:marRight w:val="0"/>
      <w:marTop w:val="0"/>
      <w:marBottom w:val="0"/>
      <w:divBdr>
        <w:top w:val="none" w:sz="0" w:space="0" w:color="auto"/>
        <w:left w:val="none" w:sz="0" w:space="0" w:color="auto"/>
        <w:bottom w:val="none" w:sz="0" w:space="0" w:color="auto"/>
        <w:right w:val="none" w:sz="0" w:space="0" w:color="auto"/>
      </w:divBdr>
    </w:div>
    <w:div w:id="130640650">
      <w:bodyDiv w:val="1"/>
      <w:marLeft w:val="0"/>
      <w:marRight w:val="0"/>
      <w:marTop w:val="0"/>
      <w:marBottom w:val="0"/>
      <w:divBdr>
        <w:top w:val="none" w:sz="0" w:space="0" w:color="auto"/>
        <w:left w:val="none" w:sz="0" w:space="0" w:color="auto"/>
        <w:bottom w:val="none" w:sz="0" w:space="0" w:color="auto"/>
        <w:right w:val="none" w:sz="0" w:space="0" w:color="auto"/>
      </w:divBdr>
    </w:div>
    <w:div w:id="131874184">
      <w:bodyDiv w:val="1"/>
      <w:marLeft w:val="0"/>
      <w:marRight w:val="0"/>
      <w:marTop w:val="0"/>
      <w:marBottom w:val="0"/>
      <w:divBdr>
        <w:top w:val="none" w:sz="0" w:space="0" w:color="auto"/>
        <w:left w:val="none" w:sz="0" w:space="0" w:color="auto"/>
        <w:bottom w:val="none" w:sz="0" w:space="0" w:color="auto"/>
        <w:right w:val="none" w:sz="0" w:space="0" w:color="auto"/>
      </w:divBdr>
    </w:div>
    <w:div w:id="146015109">
      <w:bodyDiv w:val="1"/>
      <w:marLeft w:val="0"/>
      <w:marRight w:val="0"/>
      <w:marTop w:val="0"/>
      <w:marBottom w:val="0"/>
      <w:divBdr>
        <w:top w:val="none" w:sz="0" w:space="0" w:color="auto"/>
        <w:left w:val="none" w:sz="0" w:space="0" w:color="auto"/>
        <w:bottom w:val="none" w:sz="0" w:space="0" w:color="auto"/>
        <w:right w:val="none" w:sz="0" w:space="0" w:color="auto"/>
      </w:divBdr>
    </w:div>
    <w:div w:id="150605486">
      <w:bodyDiv w:val="1"/>
      <w:marLeft w:val="0"/>
      <w:marRight w:val="0"/>
      <w:marTop w:val="0"/>
      <w:marBottom w:val="0"/>
      <w:divBdr>
        <w:top w:val="none" w:sz="0" w:space="0" w:color="auto"/>
        <w:left w:val="none" w:sz="0" w:space="0" w:color="auto"/>
        <w:bottom w:val="none" w:sz="0" w:space="0" w:color="auto"/>
        <w:right w:val="none" w:sz="0" w:space="0" w:color="auto"/>
      </w:divBdr>
    </w:div>
    <w:div w:id="150685779">
      <w:bodyDiv w:val="1"/>
      <w:marLeft w:val="0"/>
      <w:marRight w:val="0"/>
      <w:marTop w:val="0"/>
      <w:marBottom w:val="0"/>
      <w:divBdr>
        <w:top w:val="none" w:sz="0" w:space="0" w:color="auto"/>
        <w:left w:val="none" w:sz="0" w:space="0" w:color="auto"/>
        <w:bottom w:val="none" w:sz="0" w:space="0" w:color="auto"/>
        <w:right w:val="none" w:sz="0" w:space="0" w:color="auto"/>
      </w:divBdr>
    </w:div>
    <w:div w:id="151414100">
      <w:bodyDiv w:val="1"/>
      <w:marLeft w:val="0"/>
      <w:marRight w:val="0"/>
      <w:marTop w:val="0"/>
      <w:marBottom w:val="0"/>
      <w:divBdr>
        <w:top w:val="none" w:sz="0" w:space="0" w:color="auto"/>
        <w:left w:val="none" w:sz="0" w:space="0" w:color="auto"/>
        <w:bottom w:val="none" w:sz="0" w:space="0" w:color="auto"/>
        <w:right w:val="none" w:sz="0" w:space="0" w:color="auto"/>
      </w:divBdr>
    </w:div>
    <w:div w:id="156728995">
      <w:bodyDiv w:val="1"/>
      <w:marLeft w:val="0"/>
      <w:marRight w:val="0"/>
      <w:marTop w:val="0"/>
      <w:marBottom w:val="0"/>
      <w:divBdr>
        <w:top w:val="none" w:sz="0" w:space="0" w:color="auto"/>
        <w:left w:val="none" w:sz="0" w:space="0" w:color="auto"/>
        <w:bottom w:val="none" w:sz="0" w:space="0" w:color="auto"/>
        <w:right w:val="none" w:sz="0" w:space="0" w:color="auto"/>
      </w:divBdr>
    </w:div>
    <w:div w:id="158280157">
      <w:bodyDiv w:val="1"/>
      <w:marLeft w:val="0"/>
      <w:marRight w:val="0"/>
      <w:marTop w:val="0"/>
      <w:marBottom w:val="0"/>
      <w:divBdr>
        <w:top w:val="none" w:sz="0" w:space="0" w:color="auto"/>
        <w:left w:val="none" w:sz="0" w:space="0" w:color="auto"/>
        <w:bottom w:val="none" w:sz="0" w:space="0" w:color="auto"/>
        <w:right w:val="none" w:sz="0" w:space="0" w:color="auto"/>
      </w:divBdr>
    </w:div>
    <w:div w:id="161429551">
      <w:bodyDiv w:val="1"/>
      <w:marLeft w:val="0"/>
      <w:marRight w:val="0"/>
      <w:marTop w:val="0"/>
      <w:marBottom w:val="0"/>
      <w:divBdr>
        <w:top w:val="none" w:sz="0" w:space="0" w:color="auto"/>
        <w:left w:val="none" w:sz="0" w:space="0" w:color="auto"/>
        <w:bottom w:val="none" w:sz="0" w:space="0" w:color="auto"/>
        <w:right w:val="none" w:sz="0" w:space="0" w:color="auto"/>
      </w:divBdr>
    </w:div>
    <w:div w:id="168494909">
      <w:bodyDiv w:val="1"/>
      <w:marLeft w:val="0"/>
      <w:marRight w:val="0"/>
      <w:marTop w:val="0"/>
      <w:marBottom w:val="0"/>
      <w:divBdr>
        <w:top w:val="none" w:sz="0" w:space="0" w:color="auto"/>
        <w:left w:val="none" w:sz="0" w:space="0" w:color="auto"/>
        <w:bottom w:val="none" w:sz="0" w:space="0" w:color="auto"/>
        <w:right w:val="none" w:sz="0" w:space="0" w:color="auto"/>
      </w:divBdr>
    </w:div>
    <w:div w:id="171605109">
      <w:bodyDiv w:val="1"/>
      <w:marLeft w:val="0"/>
      <w:marRight w:val="0"/>
      <w:marTop w:val="0"/>
      <w:marBottom w:val="0"/>
      <w:divBdr>
        <w:top w:val="none" w:sz="0" w:space="0" w:color="auto"/>
        <w:left w:val="none" w:sz="0" w:space="0" w:color="auto"/>
        <w:bottom w:val="none" w:sz="0" w:space="0" w:color="auto"/>
        <w:right w:val="none" w:sz="0" w:space="0" w:color="auto"/>
      </w:divBdr>
    </w:div>
    <w:div w:id="187260150">
      <w:bodyDiv w:val="1"/>
      <w:marLeft w:val="0"/>
      <w:marRight w:val="0"/>
      <w:marTop w:val="0"/>
      <w:marBottom w:val="0"/>
      <w:divBdr>
        <w:top w:val="none" w:sz="0" w:space="0" w:color="auto"/>
        <w:left w:val="none" w:sz="0" w:space="0" w:color="auto"/>
        <w:bottom w:val="none" w:sz="0" w:space="0" w:color="auto"/>
        <w:right w:val="none" w:sz="0" w:space="0" w:color="auto"/>
      </w:divBdr>
    </w:div>
    <w:div w:id="194192704">
      <w:bodyDiv w:val="1"/>
      <w:marLeft w:val="0"/>
      <w:marRight w:val="0"/>
      <w:marTop w:val="0"/>
      <w:marBottom w:val="0"/>
      <w:divBdr>
        <w:top w:val="none" w:sz="0" w:space="0" w:color="auto"/>
        <w:left w:val="none" w:sz="0" w:space="0" w:color="auto"/>
        <w:bottom w:val="none" w:sz="0" w:space="0" w:color="auto"/>
        <w:right w:val="none" w:sz="0" w:space="0" w:color="auto"/>
      </w:divBdr>
    </w:div>
    <w:div w:id="202376162">
      <w:bodyDiv w:val="1"/>
      <w:marLeft w:val="0"/>
      <w:marRight w:val="0"/>
      <w:marTop w:val="0"/>
      <w:marBottom w:val="0"/>
      <w:divBdr>
        <w:top w:val="none" w:sz="0" w:space="0" w:color="auto"/>
        <w:left w:val="none" w:sz="0" w:space="0" w:color="auto"/>
        <w:bottom w:val="none" w:sz="0" w:space="0" w:color="auto"/>
        <w:right w:val="none" w:sz="0" w:space="0" w:color="auto"/>
      </w:divBdr>
    </w:div>
    <w:div w:id="204172980">
      <w:bodyDiv w:val="1"/>
      <w:marLeft w:val="0"/>
      <w:marRight w:val="0"/>
      <w:marTop w:val="0"/>
      <w:marBottom w:val="0"/>
      <w:divBdr>
        <w:top w:val="none" w:sz="0" w:space="0" w:color="auto"/>
        <w:left w:val="none" w:sz="0" w:space="0" w:color="auto"/>
        <w:bottom w:val="none" w:sz="0" w:space="0" w:color="auto"/>
        <w:right w:val="none" w:sz="0" w:space="0" w:color="auto"/>
      </w:divBdr>
    </w:div>
    <w:div w:id="209732417">
      <w:bodyDiv w:val="1"/>
      <w:marLeft w:val="0"/>
      <w:marRight w:val="0"/>
      <w:marTop w:val="0"/>
      <w:marBottom w:val="0"/>
      <w:divBdr>
        <w:top w:val="none" w:sz="0" w:space="0" w:color="auto"/>
        <w:left w:val="none" w:sz="0" w:space="0" w:color="auto"/>
        <w:bottom w:val="none" w:sz="0" w:space="0" w:color="auto"/>
        <w:right w:val="none" w:sz="0" w:space="0" w:color="auto"/>
      </w:divBdr>
    </w:div>
    <w:div w:id="215972495">
      <w:bodyDiv w:val="1"/>
      <w:marLeft w:val="0"/>
      <w:marRight w:val="0"/>
      <w:marTop w:val="0"/>
      <w:marBottom w:val="0"/>
      <w:divBdr>
        <w:top w:val="none" w:sz="0" w:space="0" w:color="auto"/>
        <w:left w:val="none" w:sz="0" w:space="0" w:color="auto"/>
        <w:bottom w:val="none" w:sz="0" w:space="0" w:color="auto"/>
        <w:right w:val="none" w:sz="0" w:space="0" w:color="auto"/>
      </w:divBdr>
    </w:div>
    <w:div w:id="217743198">
      <w:bodyDiv w:val="1"/>
      <w:marLeft w:val="0"/>
      <w:marRight w:val="0"/>
      <w:marTop w:val="0"/>
      <w:marBottom w:val="0"/>
      <w:divBdr>
        <w:top w:val="none" w:sz="0" w:space="0" w:color="auto"/>
        <w:left w:val="none" w:sz="0" w:space="0" w:color="auto"/>
        <w:bottom w:val="none" w:sz="0" w:space="0" w:color="auto"/>
        <w:right w:val="none" w:sz="0" w:space="0" w:color="auto"/>
      </w:divBdr>
    </w:div>
    <w:div w:id="219634354">
      <w:bodyDiv w:val="1"/>
      <w:marLeft w:val="0"/>
      <w:marRight w:val="0"/>
      <w:marTop w:val="0"/>
      <w:marBottom w:val="0"/>
      <w:divBdr>
        <w:top w:val="none" w:sz="0" w:space="0" w:color="auto"/>
        <w:left w:val="none" w:sz="0" w:space="0" w:color="auto"/>
        <w:bottom w:val="none" w:sz="0" w:space="0" w:color="auto"/>
        <w:right w:val="none" w:sz="0" w:space="0" w:color="auto"/>
      </w:divBdr>
    </w:div>
    <w:div w:id="229072737">
      <w:bodyDiv w:val="1"/>
      <w:marLeft w:val="0"/>
      <w:marRight w:val="0"/>
      <w:marTop w:val="0"/>
      <w:marBottom w:val="0"/>
      <w:divBdr>
        <w:top w:val="none" w:sz="0" w:space="0" w:color="auto"/>
        <w:left w:val="none" w:sz="0" w:space="0" w:color="auto"/>
        <w:bottom w:val="none" w:sz="0" w:space="0" w:color="auto"/>
        <w:right w:val="none" w:sz="0" w:space="0" w:color="auto"/>
      </w:divBdr>
    </w:div>
    <w:div w:id="230434245">
      <w:bodyDiv w:val="1"/>
      <w:marLeft w:val="0"/>
      <w:marRight w:val="0"/>
      <w:marTop w:val="0"/>
      <w:marBottom w:val="0"/>
      <w:divBdr>
        <w:top w:val="none" w:sz="0" w:space="0" w:color="auto"/>
        <w:left w:val="none" w:sz="0" w:space="0" w:color="auto"/>
        <w:bottom w:val="none" w:sz="0" w:space="0" w:color="auto"/>
        <w:right w:val="none" w:sz="0" w:space="0" w:color="auto"/>
      </w:divBdr>
    </w:div>
    <w:div w:id="235096913">
      <w:bodyDiv w:val="1"/>
      <w:marLeft w:val="0"/>
      <w:marRight w:val="0"/>
      <w:marTop w:val="0"/>
      <w:marBottom w:val="0"/>
      <w:divBdr>
        <w:top w:val="none" w:sz="0" w:space="0" w:color="auto"/>
        <w:left w:val="none" w:sz="0" w:space="0" w:color="auto"/>
        <w:bottom w:val="none" w:sz="0" w:space="0" w:color="auto"/>
        <w:right w:val="none" w:sz="0" w:space="0" w:color="auto"/>
      </w:divBdr>
    </w:div>
    <w:div w:id="237787809">
      <w:bodyDiv w:val="1"/>
      <w:marLeft w:val="0"/>
      <w:marRight w:val="0"/>
      <w:marTop w:val="0"/>
      <w:marBottom w:val="0"/>
      <w:divBdr>
        <w:top w:val="none" w:sz="0" w:space="0" w:color="auto"/>
        <w:left w:val="none" w:sz="0" w:space="0" w:color="auto"/>
        <w:bottom w:val="none" w:sz="0" w:space="0" w:color="auto"/>
        <w:right w:val="none" w:sz="0" w:space="0" w:color="auto"/>
      </w:divBdr>
      <w:divsChild>
        <w:div w:id="62989973">
          <w:marLeft w:val="0"/>
          <w:marRight w:val="0"/>
          <w:marTop w:val="0"/>
          <w:marBottom w:val="0"/>
          <w:divBdr>
            <w:top w:val="none" w:sz="0" w:space="0" w:color="auto"/>
            <w:left w:val="none" w:sz="0" w:space="0" w:color="auto"/>
            <w:bottom w:val="none" w:sz="0" w:space="0" w:color="auto"/>
            <w:right w:val="none" w:sz="0" w:space="0" w:color="auto"/>
          </w:divBdr>
        </w:div>
        <w:div w:id="550768099">
          <w:marLeft w:val="0"/>
          <w:marRight w:val="0"/>
          <w:marTop w:val="0"/>
          <w:marBottom w:val="0"/>
          <w:divBdr>
            <w:top w:val="none" w:sz="0" w:space="0" w:color="auto"/>
            <w:left w:val="none" w:sz="0" w:space="0" w:color="auto"/>
            <w:bottom w:val="none" w:sz="0" w:space="0" w:color="auto"/>
            <w:right w:val="none" w:sz="0" w:space="0" w:color="auto"/>
          </w:divBdr>
        </w:div>
        <w:div w:id="796407987">
          <w:marLeft w:val="0"/>
          <w:marRight w:val="0"/>
          <w:marTop w:val="0"/>
          <w:marBottom w:val="0"/>
          <w:divBdr>
            <w:top w:val="none" w:sz="0" w:space="0" w:color="auto"/>
            <w:left w:val="none" w:sz="0" w:space="0" w:color="auto"/>
            <w:bottom w:val="none" w:sz="0" w:space="0" w:color="auto"/>
            <w:right w:val="none" w:sz="0" w:space="0" w:color="auto"/>
          </w:divBdr>
        </w:div>
        <w:div w:id="1008799326">
          <w:marLeft w:val="0"/>
          <w:marRight w:val="0"/>
          <w:marTop w:val="0"/>
          <w:marBottom w:val="0"/>
          <w:divBdr>
            <w:top w:val="none" w:sz="0" w:space="0" w:color="auto"/>
            <w:left w:val="none" w:sz="0" w:space="0" w:color="auto"/>
            <w:bottom w:val="none" w:sz="0" w:space="0" w:color="auto"/>
            <w:right w:val="none" w:sz="0" w:space="0" w:color="auto"/>
          </w:divBdr>
        </w:div>
        <w:div w:id="1095904117">
          <w:marLeft w:val="0"/>
          <w:marRight w:val="0"/>
          <w:marTop w:val="0"/>
          <w:marBottom w:val="0"/>
          <w:divBdr>
            <w:top w:val="none" w:sz="0" w:space="0" w:color="auto"/>
            <w:left w:val="none" w:sz="0" w:space="0" w:color="auto"/>
            <w:bottom w:val="none" w:sz="0" w:space="0" w:color="auto"/>
            <w:right w:val="none" w:sz="0" w:space="0" w:color="auto"/>
          </w:divBdr>
        </w:div>
        <w:div w:id="1164130310">
          <w:marLeft w:val="0"/>
          <w:marRight w:val="0"/>
          <w:marTop w:val="0"/>
          <w:marBottom w:val="0"/>
          <w:divBdr>
            <w:top w:val="none" w:sz="0" w:space="0" w:color="auto"/>
            <w:left w:val="none" w:sz="0" w:space="0" w:color="auto"/>
            <w:bottom w:val="none" w:sz="0" w:space="0" w:color="auto"/>
            <w:right w:val="none" w:sz="0" w:space="0" w:color="auto"/>
          </w:divBdr>
        </w:div>
        <w:div w:id="1326128180">
          <w:marLeft w:val="0"/>
          <w:marRight w:val="0"/>
          <w:marTop w:val="0"/>
          <w:marBottom w:val="0"/>
          <w:divBdr>
            <w:top w:val="none" w:sz="0" w:space="0" w:color="auto"/>
            <w:left w:val="none" w:sz="0" w:space="0" w:color="auto"/>
            <w:bottom w:val="none" w:sz="0" w:space="0" w:color="auto"/>
            <w:right w:val="none" w:sz="0" w:space="0" w:color="auto"/>
          </w:divBdr>
        </w:div>
        <w:div w:id="1535076320">
          <w:marLeft w:val="0"/>
          <w:marRight w:val="0"/>
          <w:marTop w:val="0"/>
          <w:marBottom w:val="0"/>
          <w:divBdr>
            <w:top w:val="none" w:sz="0" w:space="0" w:color="auto"/>
            <w:left w:val="none" w:sz="0" w:space="0" w:color="auto"/>
            <w:bottom w:val="none" w:sz="0" w:space="0" w:color="auto"/>
            <w:right w:val="none" w:sz="0" w:space="0" w:color="auto"/>
          </w:divBdr>
        </w:div>
      </w:divsChild>
    </w:div>
    <w:div w:id="238712488">
      <w:bodyDiv w:val="1"/>
      <w:marLeft w:val="0"/>
      <w:marRight w:val="0"/>
      <w:marTop w:val="0"/>
      <w:marBottom w:val="0"/>
      <w:divBdr>
        <w:top w:val="none" w:sz="0" w:space="0" w:color="auto"/>
        <w:left w:val="none" w:sz="0" w:space="0" w:color="auto"/>
        <w:bottom w:val="none" w:sz="0" w:space="0" w:color="auto"/>
        <w:right w:val="none" w:sz="0" w:space="0" w:color="auto"/>
      </w:divBdr>
    </w:div>
    <w:div w:id="241107711">
      <w:bodyDiv w:val="1"/>
      <w:marLeft w:val="0"/>
      <w:marRight w:val="0"/>
      <w:marTop w:val="0"/>
      <w:marBottom w:val="0"/>
      <w:divBdr>
        <w:top w:val="none" w:sz="0" w:space="0" w:color="auto"/>
        <w:left w:val="none" w:sz="0" w:space="0" w:color="auto"/>
        <w:bottom w:val="none" w:sz="0" w:space="0" w:color="auto"/>
        <w:right w:val="none" w:sz="0" w:space="0" w:color="auto"/>
      </w:divBdr>
    </w:div>
    <w:div w:id="245192897">
      <w:bodyDiv w:val="1"/>
      <w:marLeft w:val="0"/>
      <w:marRight w:val="0"/>
      <w:marTop w:val="0"/>
      <w:marBottom w:val="0"/>
      <w:divBdr>
        <w:top w:val="none" w:sz="0" w:space="0" w:color="auto"/>
        <w:left w:val="none" w:sz="0" w:space="0" w:color="auto"/>
        <w:bottom w:val="none" w:sz="0" w:space="0" w:color="auto"/>
        <w:right w:val="none" w:sz="0" w:space="0" w:color="auto"/>
      </w:divBdr>
    </w:div>
    <w:div w:id="245696618">
      <w:bodyDiv w:val="1"/>
      <w:marLeft w:val="0"/>
      <w:marRight w:val="0"/>
      <w:marTop w:val="0"/>
      <w:marBottom w:val="0"/>
      <w:divBdr>
        <w:top w:val="none" w:sz="0" w:space="0" w:color="auto"/>
        <w:left w:val="none" w:sz="0" w:space="0" w:color="auto"/>
        <w:bottom w:val="none" w:sz="0" w:space="0" w:color="auto"/>
        <w:right w:val="none" w:sz="0" w:space="0" w:color="auto"/>
      </w:divBdr>
    </w:div>
    <w:div w:id="247663498">
      <w:bodyDiv w:val="1"/>
      <w:marLeft w:val="0"/>
      <w:marRight w:val="0"/>
      <w:marTop w:val="0"/>
      <w:marBottom w:val="0"/>
      <w:divBdr>
        <w:top w:val="none" w:sz="0" w:space="0" w:color="auto"/>
        <w:left w:val="none" w:sz="0" w:space="0" w:color="auto"/>
        <w:bottom w:val="none" w:sz="0" w:space="0" w:color="auto"/>
        <w:right w:val="none" w:sz="0" w:space="0" w:color="auto"/>
      </w:divBdr>
    </w:div>
    <w:div w:id="248931884">
      <w:bodyDiv w:val="1"/>
      <w:marLeft w:val="0"/>
      <w:marRight w:val="0"/>
      <w:marTop w:val="0"/>
      <w:marBottom w:val="0"/>
      <w:divBdr>
        <w:top w:val="none" w:sz="0" w:space="0" w:color="auto"/>
        <w:left w:val="none" w:sz="0" w:space="0" w:color="auto"/>
        <w:bottom w:val="none" w:sz="0" w:space="0" w:color="auto"/>
        <w:right w:val="none" w:sz="0" w:space="0" w:color="auto"/>
      </w:divBdr>
    </w:div>
    <w:div w:id="252203548">
      <w:bodyDiv w:val="1"/>
      <w:marLeft w:val="0"/>
      <w:marRight w:val="0"/>
      <w:marTop w:val="0"/>
      <w:marBottom w:val="0"/>
      <w:divBdr>
        <w:top w:val="none" w:sz="0" w:space="0" w:color="auto"/>
        <w:left w:val="none" w:sz="0" w:space="0" w:color="auto"/>
        <w:bottom w:val="none" w:sz="0" w:space="0" w:color="auto"/>
        <w:right w:val="none" w:sz="0" w:space="0" w:color="auto"/>
      </w:divBdr>
    </w:div>
    <w:div w:id="254754941">
      <w:bodyDiv w:val="1"/>
      <w:marLeft w:val="0"/>
      <w:marRight w:val="0"/>
      <w:marTop w:val="0"/>
      <w:marBottom w:val="0"/>
      <w:divBdr>
        <w:top w:val="none" w:sz="0" w:space="0" w:color="auto"/>
        <w:left w:val="none" w:sz="0" w:space="0" w:color="auto"/>
        <w:bottom w:val="none" w:sz="0" w:space="0" w:color="auto"/>
        <w:right w:val="none" w:sz="0" w:space="0" w:color="auto"/>
      </w:divBdr>
    </w:div>
    <w:div w:id="268464560">
      <w:bodyDiv w:val="1"/>
      <w:marLeft w:val="0"/>
      <w:marRight w:val="0"/>
      <w:marTop w:val="0"/>
      <w:marBottom w:val="0"/>
      <w:divBdr>
        <w:top w:val="none" w:sz="0" w:space="0" w:color="auto"/>
        <w:left w:val="none" w:sz="0" w:space="0" w:color="auto"/>
        <w:bottom w:val="none" w:sz="0" w:space="0" w:color="auto"/>
        <w:right w:val="none" w:sz="0" w:space="0" w:color="auto"/>
      </w:divBdr>
    </w:div>
    <w:div w:id="271253714">
      <w:bodyDiv w:val="1"/>
      <w:marLeft w:val="0"/>
      <w:marRight w:val="0"/>
      <w:marTop w:val="0"/>
      <w:marBottom w:val="0"/>
      <w:divBdr>
        <w:top w:val="none" w:sz="0" w:space="0" w:color="auto"/>
        <w:left w:val="none" w:sz="0" w:space="0" w:color="auto"/>
        <w:bottom w:val="none" w:sz="0" w:space="0" w:color="auto"/>
        <w:right w:val="none" w:sz="0" w:space="0" w:color="auto"/>
      </w:divBdr>
    </w:div>
    <w:div w:id="271666402">
      <w:bodyDiv w:val="1"/>
      <w:marLeft w:val="0"/>
      <w:marRight w:val="0"/>
      <w:marTop w:val="0"/>
      <w:marBottom w:val="0"/>
      <w:divBdr>
        <w:top w:val="none" w:sz="0" w:space="0" w:color="auto"/>
        <w:left w:val="none" w:sz="0" w:space="0" w:color="auto"/>
        <w:bottom w:val="none" w:sz="0" w:space="0" w:color="auto"/>
        <w:right w:val="none" w:sz="0" w:space="0" w:color="auto"/>
      </w:divBdr>
    </w:div>
    <w:div w:id="277571068">
      <w:bodyDiv w:val="1"/>
      <w:marLeft w:val="0"/>
      <w:marRight w:val="0"/>
      <w:marTop w:val="0"/>
      <w:marBottom w:val="0"/>
      <w:divBdr>
        <w:top w:val="none" w:sz="0" w:space="0" w:color="auto"/>
        <w:left w:val="none" w:sz="0" w:space="0" w:color="auto"/>
        <w:bottom w:val="none" w:sz="0" w:space="0" w:color="auto"/>
        <w:right w:val="none" w:sz="0" w:space="0" w:color="auto"/>
      </w:divBdr>
    </w:div>
    <w:div w:id="281351198">
      <w:bodyDiv w:val="1"/>
      <w:marLeft w:val="0"/>
      <w:marRight w:val="0"/>
      <w:marTop w:val="0"/>
      <w:marBottom w:val="0"/>
      <w:divBdr>
        <w:top w:val="none" w:sz="0" w:space="0" w:color="auto"/>
        <w:left w:val="none" w:sz="0" w:space="0" w:color="auto"/>
        <w:bottom w:val="none" w:sz="0" w:space="0" w:color="auto"/>
        <w:right w:val="none" w:sz="0" w:space="0" w:color="auto"/>
      </w:divBdr>
    </w:div>
    <w:div w:id="282460729">
      <w:bodyDiv w:val="1"/>
      <w:marLeft w:val="0"/>
      <w:marRight w:val="0"/>
      <w:marTop w:val="0"/>
      <w:marBottom w:val="0"/>
      <w:divBdr>
        <w:top w:val="none" w:sz="0" w:space="0" w:color="auto"/>
        <w:left w:val="none" w:sz="0" w:space="0" w:color="auto"/>
        <w:bottom w:val="none" w:sz="0" w:space="0" w:color="auto"/>
        <w:right w:val="none" w:sz="0" w:space="0" w:color="auto"/>
      </w:divBdr>
    </w:div>
    <w:div w:id="287199697">
      <w:bodyDiv w:val="1"/>
      <w:marLeft w:val="0"/>
      <w:marRight w:val="0"/>
      <w:marTop w:val="0"/>
      <w:marBottom w:val="0"/>
      <w:divBdr>
        <w:top w:val="none" w:sz="0" w:space="0" w:color="auto"/>
        <w:left w:val="none" w:sz="0" w:space="0" w:color="auto"/>
        <w:bottom w:val="none" w:sz="0" w:space="0" w:color="auto"/>
        <w:right w:val="none" w:sz="0" w:space="0" w:color="auto"/>
      </w:divBdr>
    </w:div>
    <w:div w:id="290281863">
      <w:bodyDiv w:val="1"/>
      <w:marLeft w:val="0"/>
      <w:marRight w:val="0"/>
      <w:marTop w:val="0"/>
      <w:marBottom w:val="0"/>
      <w:divBdr>
        <w:top w:val="none" w:sz="0" w:space="0" w:color="auto"/>
        <w:left w:val="none" w:sz="0" w:space="0" w:color="auto"/>
        <w:bottom w:val="none" w:sz="0" w:space="0" w:color="auto"/>
        <w:right w:val="none" w:sz="0" w:space="0" w:color="auto"/>
      </w:divBdr>
    </w:div>
    <w:div w:id="302002736">
      <w:bodyDiv w:val="1"/>
      <w:marLeft w:val="0"/>
      <w:marRight w:val="0"/>
      <w:marTop w:val="0"/>
      <w:marBottom w:val="0"/>
      <w:divBdr>
        <w:top w:val="none" w:sz="0" w:space="0" w:color="auto"/>
        <w:left w:val="none" w:sz="0" w:space="0" w:color="auto"/>
        <w:bottom w:val="none" w:sz="0" w:space="0" w:color="auto"/>
        <w:right w:val="none" w:sz="0" w:space="0" w:color="auto"/>
      </w:divBdr>
    </w:div>
    <w:div w:id="302121825">
      <w:bodyDiv w:val="1"/>
      <w:marLeft w:val="0"/>
      <w:marRight w:val="0"/>
      <w:marTop w:val="0"/>
      <w:marBottom w:val="0"/>
      <w:divBdr>
        <w:top w:val="none" w:sz="0" w:space="0" w:color="auto"/>
        <w:left w:val="none" w:sz="0" w:space="0" w:color="auto"/>
        <w:bottom w:val="none" w:sz="0" w:space="0" w:color="auto"/>
        <w:right w:val="none" w:sz="0" w:space="0" w:color="auto"/>
      </w:divBdr>
    </w:div>
    <w:div w:id="305747537">
      <w:bodyDiv w:val="1"/>
      <w:marLeft w:val="0"/>
      <w:marRight w:val="0"/>
      <w:marTop w:val="0"/>
      <w:marBottom w:val="0"/>
      <w:divBdr>
        <w:top w:val="none" w:sz="0" w:space="0" w:color="auto"/>
        <w:left w:val="none" w:sz="0" w:space="0" w:color="auto"/>
        <w:bottom w:val="none" w:sz="0" w:space="0" w:color="auto"/>
        <w:right w:val="none" w:sz="0" w:space="0" w:color="auto"/>
      </w:divBdr>
    </w:div>
    <w:div w:id="311061954">
      <w:bodyDiv w:val="1"/>
      <w:marLeft w:val="0"/>
      <w:marRight w:val="0"/>
      <w:marTop w:val="0"/>
      <w:marBottom w:val="0"/>
      <w:divBdr>
        <w:top w:val="none" w:sz="0" w:space="0" w:color="auto"/>
        <w:left w:val="none" w:sz="0" w:space="0" w:color="auto"/>
        <w:bottom w:val="none" w:sz="0" w:space="0" w:color="auto"/>
        <w:right w:val="none" w:sz="0" w:space="0" w:color="auto"/>
      </w:divBdr>
    </w:div>
    <w:div w:id="313027268">
      <w:bodyDiv w:val="1"/>
      <w:marLeft w:val="0"/>
      <w:marRight w:val="0"/>
      <w:marTop w:val="0"/>
      <w:marBottom w:val="0"/>
      <w:divBdr>
        <w:top w:val="none" w:sz="0" w:space="0" w:color="auto"/>
        <w:left w:val="none" w:sz="0" w:space="0" w:color="auto"/>
        <w:bottom w:val="none" w:sz="0" w:space="0" w:color="auto"/>
        <w:right w:val="none" w:sz="0" w:space="0" w:color="auto"/>
      </w:divBdr>
    </w:div>
    <w:div w:id="314259769">
      <w:bodyDiv w:val="1"/>
      <w:marLeft w:val="0"/>
      <w:marRight w:val="0"/>
      <w:marTop w:val="0"/>
      <w:marBottom w:val="0"/>
      <w:divBdr>
        <w:top w:val="none" w:sz="0" w:space="0" w:color="auto"/>
        <w:left w:val="none" w:sz="0" w:space="0" w:color="auto"/>
        <w:bottom w:val="none" w:sz="0" w:space="0" w:color="auto"/>
        <w:right w:val="none" w:sz="0" w:space="0" w:color="auto"/>
      </w:divBdr>
    </w:div>
    <w:div w:id="332949466">
      <w:bodyDiv w:val="1"/>
      <w:marLeft w:val="0"/>
      <w:marRight w:val="0"/>
      <w:marTop w:val="0"/>
      <w:marBottom w:val="0"/>
      <w:divBdr>
        <w:top w:val="none" w:sz="0" w:space="0" w:color="auto"/>
        <w:left w:val="none" w:sz="0" w:space="0" w:color="auto"/>
        <w:bottom w:val="none" w:sz="0" w:space="0" w:color="auto"/>
        <w:right w:val="none" w:sz="0" w:space="0" w:color="auto"/>
      </w:divBdr>
    </w:div>
    <w:div w:id="340208975">
      <w:bodyDiv w:val="1"/>
      <w:marLeft w:val="0"/>
      <w:marRight w:val="0"/>
      <w:marTop w:val="0"/>
      <w:marBottom w:val="0"/>
      <w:divBdr>
        <w:top w:val="none" w:sz="0" w:space="0" w:color="auto"/>
        <w:left w:val="none" w:sz="0" w:space="0" w:color="auto"/>
        <w:bottom w:val="none" w:sz="0" w:space="0" w:color="auto"/>
        <w:right w:val="none" w:sz="0" w:space="0" w:color="auto"/>
      </w:divBdr>
    </w:div>
    <w:div w:id="342629905">
      <w:bodyDiv w:val="1"/>
      <w:marLeft w:val="0"/>
      <w:marRight w:val="0"/>
      <w:marTop w:val="0"/>
      <w:marBottom w:val="0"/>
      <w:divBdr>
        <w:top w:val="none" w:sz="0" w:space="0" w:color="auto"/>
        <w:left w:val="none" w:sz="0" w:space="0" w:color="auto"/>
        <w:bottom w:val="none" w:sz="0" w:space="0" w:color="auto"/>
        <w:right w:val="none" w:sz="0" w:space="0" w:color="auto"/>
      </w:divBdr>
    </w:div>
    <w:div w:id="343673917">
      <w:bodyDiv w:val="1"/>
      <w:marLeft w:val="0"/>
      <w:marRight w:val="0"/>
      <w:marTop w:val="0"/>
      <w:marBottom w:val="0"/>
      <w:divBdr>
        <w:top w:val="none" w:sz="0" w:space="0" w:color="auto"/>
        <w:left w:val="none" w:sz="0" w:space="0" w:color="auto"/>
        <w:bottom w:val="none" w:sz="0" w:space="0" w:color="auto"/>
        <w:right w:val="none" w:sz="0" w:space="0" w:color="auto"/>
      </w:divBdr>
    </w:div>
    <w:div w:id="345526938">
      <w:bodyDiv w:val="1"/>
      <w:marLeft w:val="0"/>
      <w:marRight w:val="0"/>
      <w:marTop w:val="0"/>
      <w:marBottom w:val="0"/>
      <w:divBdr>
        <w:top w:val="none" w:sz="0" w:space="0" w:color="auto"/>
        <w:left w:val="none" w:sz="0" w:space="0" w:color="auto"/>
        <w:bottom w:val="none" w:sz="0" w:space="0" w:color="auto"/>
        <w:right w:val="none" w:sz="0" w:space="0" w:color="auto"/>
      </w:divBdr>
    </w:div>
    <w:div w:id="356275400">
      <w:bodyDiv w:val="1"/>
      <w:marLeft w:val="0"/>
      <w:marRight w:val="0"/>
      <w:marTop w:val="0"/>
      <w:marBottom w:val="0"/>
      <w:divBdr>
        <w:top w:val="none" w:sz="0" w:space="0" w:color="auto"/>
        <w:left w:val="none" w:sz="0" w:space="0" w:color="auto"/>
        <w:bottom w:val="none" w:sz="0" w:space="0" w:color="auto"/>
        <w:right w:val="none" w:sz="0" w:space="0" w:color="auto"/>
      </w:divBdr>
    </w:div>
    <w:div w:id="356858754">
      <w:bodyDiv w:val="1"/>
      <w:marLeft w:val="0"/>
      <w:marRight w:val="0"/>
      <w:marTop w:val="0"/>
      <w:marBottom w:val="0"/>
      <w:divBdr>
        <w:top w:val="none" w:sz="0" w:space="0" w:color="auto"/>
        <w:left w:val="none" w:sz="0" w:space="0" w:color="auto"/>
        <w:bottom w:val="none" w:sz="0" w:space="0" w:color="auto"/>
        <w:right w:val="none" w:sz="0" w:space="0" w:color="auto"/>
      </w:divBdr>
    </w:div>
    <w:div w:id="378091442">
      <w:bodyDiv w:val="1"/>
      <w:marLeft w:val="0"/>
      <w:marRight w:val="0"/>
      <w:marTop w:val="0"/>
      <w:marBottom w:val="0"/>
      <w:divBdr>
        <w:top w:val="none" w:sz="0" w:space="0" w:color="auto"/>
        <w:left w:val="none" w:sz="0" w:space="0" w:color="auto"/>
        <w:bottom w:val="none" w:sz="0" w:space="0" w:color="auto"/>
        <w:right w:val="none" w:sz="0" w:space="0" w:color="auto"/>
      </w:divBdr>
    </w:div>
    <w:div w:id="380832260">
      <w:bodyDiv w:val="1"/>
      <w:marLeft w:val="0"/>
      <w:marRight w:val="0"/>
      <w:marTop w:val="0"/>
      <w:marBottom w:val="0"/>
      <w:divBdr>
        <w:top w:val="none" w:sz="0" w:space="0" w:color="auto"/>
        <w:left w:val="none" w:sz="0" w:space="0" w:color="auto"/>
        <w:bottom w:val="none" w:sz="0" w:space="0" w:color="auto"/>
        <w:right w:val="none" w:sz="0" w:space="0" w:color="auto"/>
      </w:divBdr>
    </w:div>
    <w:div w:id="387996967">
      <w:bodyDiv w:val="1"/>
      <w:marLeft w:val="0"/>
      <w:marRight w:val="0"/>
      <w:marTop w:val="0"/>
      <w:marBottom w:val="0"/>
      <w:divBdr>
        <w:top w:val="none" w:sz="0" w:space="0" w:color="auto"/>
        <w:left w:val="none" w:sz="0" w:space="0" w:color="auto"/>
        <w:bottom w:val="none" w:sz="0" w:space="0" w:color="auto"/>
        <w:right w:val="none" w:sz="0" w:space="0" w:color="auto"/>
      </w:divBdr>
    </w:div>
    <w:div w:id="389885563">
      <w:bodyDiv w:val="1"/>
      <w:marLeft w:val="0"/>
      <w:marRight w:val="0"/>
      <w:marTop w:val="0"/>
      <w:marBottom w:val="0"/>
      <w:divBdr>
        <w:top w:val="none" w:sz="0" w:space="0" w:color="auto"/>
        <w:left w:val="none" w:sz="0" w:space="0" w:color="auto"/>
        <w:bottom w:val="none" w:sz="0" w:space="0" w:color="auto"/>
        <w:right w:val="none" w:sz="0" w:space="0" w:color="auto"/>
      </w:divBdr>
    </w:div>
    <w:div w:id="397441226">
      <w:bodyDiv w:val="1"/>
      <w:marLeft w:val="0"/>
      <w:marRight w:val="0"/>
      <w:marTop w:val="0"/>
      <w:marBottom w:val="0"/>
      <w:divBdr>
        <w:top w:val="none" w:sz="0" w:space="0" w:color="auto"/>
        <w:left w:val="none" w:sz="0" w:space="0" w:color="auto"/>
        <w:bottom w:val="none" w:sz="0" w:space="0" w:color="auto"/>
        <w:right w:val="none" w:sz="0" w:space="0" w:color="auto"/>
      </w:divBdr>
    </w:div>
    <w:div w:id="407966124">
      <w:bodyDiv w:val="1"/>
      <w:marLeft w:val="0"/>
      <w:marRight w:val="0"/>
      <w:marTop w:val="0"/>
      <w:marBottom w:val="0"/>
      <w:divBdr>
        <w:top w:val="none" w:sz="0" w:space="0" w:color="auto"/>
        <w:left w:val="none" w:sz="0" w:space="0" w:color="auto"/>
        <w:bottom w:val="none" w:sz="0" w:space="0" w:color="auto"/>
        <w:right w:val="none" w:sz="0" w:space="0" w:color="auto"/>
      </w:divBdr>
    </w:div>
    <w:div w:id="411389153">
      <w:bodyDiv w:val="1"/>
      <w:marLeft w:val="0"/>
      <w:marRight w:val="0"/>
      <w:marTop w:val="0"/>
      <w:marBottom w:val="0"/>
      <w:divBdr>
        <w:top w:val="none" w:sz="0" w:space="0" w:color="auto"/>
        <w:left w:val="none" w:sz="0" w:space="0" w:color="auto"/>
        <w:bottom w:val="none" w:sz="0" w:space="0" w:color="auto"/>
        <w:right w:val="none" w:sz="0" w:space="0" w:color="auto"/>
      </w:divBdr>
    </w:div>
    <w:div w:id="413093895">
      <w:bodyDiv w:val="1"/>
      <w:marLeft w:val="0"/>
      <w:marRight w:val="0"/>
      <w:marTop w:val="0"/>
      <w:marBottom w:val="0"/>
      <w:divBdr>
        <w:top w:val="none" w:sz="0" w:space="0" w:color="auto"/>
        <w:left w:val="none" w:sz="0" w:space="0" w:color="auto"/>
        <w:bottom w:val="none" w:sz="0" w:space="0" w:color="auto"/>
        <w:right w:val="none" w:sz="0" w:space="0" w:color="auto"/>
      </w:divBdr>
      <w:divsChild>
        <w:div w:id="975643678">
          <w:marLeft w:val="0"/>
          <w:marRight w:val="0"/>
          <w:marTop w:val="0"/>
          <w:marBottom w:val="0"/>
          <w:divBdr>
            <w:top w:val="none" w:sz="0" w:space="0" w:color="auto"/>
            <w:left w:val="none" w:sz="0" w:space="0" w:color="auto"/>
            <w:bottom w:val="none" w:sz="0" w:space="0" w:color="auto"/>
            <w:right w:val="none" w:sz="0" w:space="0" w:color="auto"/>
          </w:divBdr>
          <w:divsChild>
            <w:div w:id="1726683359">
              <w:marLeft w:val="0"/>
              <w:marRight w:val="0"/>
              <w:marTop w:val="0"/>
              <w:marBottom w:val="0"/>
              <w:divBdr>
                <w:top w:val="none" w:sz="0" w:space="0" w:color="auto"/>
                <w:left w:val="none" w:sz="0" w:space="0" w:color="auto"/>
                <w:bottom w:val="none" w:sz="0" w:space="0" w:color="auto"/>
                <w:right w:val="none" w:sz="0" w:space="0" w:color="auto"/>
              </w:divBdr>
              <w:divsChild>
                <w:div w:id="699665612">
                  <w:marLeft w:val="0"/>
                  <w:marRight w:val="0"/>
                  <w:marTop w:val="0"/>
                  <w:marBottom w:val="0"/>
                  <w:divBdr>
                    <w:top w:val="none" w:sz="0" w:space="0" w:color="auto"/>
                    <w:left w:val="none" w:sz="0" w:space="0" w:color="auto"/>
                    <w:bottom w:val="none" w:sz="0" w:space="0" w:color="auto"/>
                    <w:right w:val="none" w:sz="0" w:space="0" w:color="auto"/>
                  </w:divBdr>
                  <w:divsChild>
                    <w:div w:id="256183448">
                      <w:marLeft w:val="0"/>
                      <w:marRight w:val="0"/>
                      <w:marTop w:val="0"/>
                      <w:marBottom w:val="0"/>
                      <w:divBdr>
                        <w:top w:val="none" w:sz="0" w:space="0" w:color="auto"/>
                        <w:left w:val="none" w:sz="0" w:space="0" w:color="auto"/>
                        <w:bottom w:val="none" w:sz="0" w:space="0" w:color="auto"/>
                        <w:right w:val="none" w:sz="0" w:space="0" w:color="auto"/>
                      </w:divBdr>
                      <w:divsChild>
                        <w:div w:id="17932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329267">
      <w:bodyDiv w:val="1"/>
      <w:marLeft w:val="0"/>
      <w:marRight w:val="0"/>
      <w:marTop w:val="0"/>
      <w:marBottom w:val="0"/>
      <w:divBdr>
        <w:top w:val="none" w:sz="0" w:space="0" w:color="auto"/>
        <w:left w:val="none" w:sz="0" w:space="0" w:color="auto"/>
        <w:bottom w:val="none" w:sz="0" w:space="0" w:color="auto"/>
        <w:right w:val="none" w:sz="0" w:space="0" w:color="auto"/>
      </w:divBdr>
    </w:div>
    <w:div w:id="417596788">
      <w:bodyDiv w:val="1"/>
      <w:marLeft w:val="0"/>
      <w:marRight w:val="0"/>
      <w:marTop w:val="0"/>
      <w:marBottom w:val="0"/>
      <w:divBdr>
        <w:top w:val="none" w:sz="0" w:space="0" w:color="auto"/>
        <w:left w:val="none" w:sz="0" w:space="0" w:color="auto"/>
        <w:bottom w:val="none" w:sz="0" w:space="0" w:color="auto"/>
        <w:right w:val="none" w:sz="0" w:space="0" w:color="auto"/>
      </w:divBdr>
    </w:div>
    <w:div w:id="429467238">
      <w:bodyDiv w:val="1"/>
      <w:marLeft w:val="0"/>
      <w:marRight w:val="0"/>
      <w:marTop w:val="0"/>
      <w:marBottom w:val="0"/>
      <w:divBdr>
        <w:top w:val="none" w:sz="0" w:space="0" w:color="auto"/>
        <w:left w:val="none" w:sz="0" w:space="0" w:color="auto"/>
        <w:bottom w:val="none" w:sz="0" w:space="0" w:color="auto"/>
        <w:right w:val="none" w:sz="0" w:space="0" w:color="auto"/>
      </w:divBdr>
    </w:div>
    <w:div w:id="437144346">
      <w:bodyDiv w:val="1"/>
      <w:marLeft w:val="0"/>
      <w:marRight w:val="0"/>
      <w:marTop w:val="0"/>
      <w:marBottom w:val="0"/>
      <w:divBdr>
        <w:top w:val="none" w:sz="0" w:space="0" w:color="auto"/>
        <w:left w:val="none" w:sz="0" w:space="0" w:color="auto"/>
        <w:bottom w:val="none" w:sz="0" w:space="0" w:color="auto"/>
        <w:right w:val="none" w:sz="0" w:space="0" w:color="auto"/>
      </w:divBdr>
    </w:div>
    <w:div w:id="438335100">
      <w:bodyDiv w:val="1"/>
      <w:marLeft w:val="0"/>
      <w:marRight w:val="0"/>
      <w:marTop w:val="0"/>
      <w:marBottom w:val="0"/>
      <w:divBdr>
        <w:top w:val="none" w:sz="0" w:space="0" w:color="auto"/>
        <w:left w:val="none" w:sz="0" w:space="0" w:color="auto"/>
        <w:bottom w:val="none" w:sz="0" w:space="0" w:color="auto"/>
        <w:right w:val="none" w:sz="0" w:space="0" w:color="auto"/>
      </w:divBdr>
    </w:div>
    <w:div w:id="439885308">
      <w:bodyDiv w:val="1"/>
      <w:marLeft w:val="0"/>
      <w:marRight w:val="0"/>
      <w:marTop w:val="0"/>
      <w:marBottom w:val="0"/>
      <w:divBdr>
        <w:top w:val="none" w:sz="0" w:space="0" w:color="auto"/>
        <w:left w:val="none" w:sz="0" w:space="0" w:color="auto"/>
        <w:bottom w:val="none" w:sz="0" w:space="0" w:color="auto"/>
        <w:right w:val="none" w:sz="0" w:space="0" w:color="auto"/>
      </w:divBdr>
    </w:div>
    <w:div w:id="442387228">
      <w:bodyDiv w:val="1"/>
      <w:marLeft w:val="0"/>
      <w:marRight w:val="0"/>
      <w:marTop w:val="0"/>
      <w:marBottom w:val="0"/>
      <w:divBdr>
        <w:top w:val="none" w:sz="0" w:space="0" w:color="auto"/>
        <w:left w:val="none" w:sz="0" w:space="0" w:color="auto"/>
        <w:bottom w:val="none" w:sz="0" w:space="0" w:color="auto"/>
        <w:right w:val="none" w:sz="0" w:space="0" w:color="auto"/>
      </w:divBdr>
    </w:div>
    <w:div w:id="444152008">
      <w:bodyDiv w:val="1"/>
      <w:marLeft w:val="0"/>
      <w:marRight w:val="0"/>
      <w:marTop w:val="0"/>
      <w:marBottom w:val="0"/>
      <w:divBdr>
        <w:top w:val="none" w:sz="0" w:space="0" w:color="auto"/>
        <w:left w:val="none" w:sz="0" w:space="0" w:color="auto"/>
        <w:bottom w:val="none" w:sz="0" w:space="0" w:color="auto"/>
        <w:right w:val="none" w:sz="0" w:space="0" w:color="auto"/>
      </w:divBdr>
    </w:div>
    <w:div w:id="444470474">
      <w:bodyDiv w:val="1"/>
      <w:marLeft w:val="0"/>
      <w:marRight w:val="0"/>
      <w:marTop w:val="0"/>
      <w:marBottom w:val="0"/>
      <w:divBdr>
        <w:top w:val="none" w:sz="0" w:space="0" w:color="auto"/>
        <w:left w:val="none" w:sz="0" w:space="0" w:color="auto"/>
        <w:bottom w:val="none" w:sz="0" w:space="0" w:color="auto"/>
        <w:right w:val="none" w:sz="0" w:space="0" w:color="auto"/>
      </w:divBdr>
    </w:div>
    <w:div w:id="453326001">
      <w:bodyDiv w:val="1"/>
      <w:marLeft w:val="0"/>
      <w:marRight w:val="0"/>
      <w:marTop w:val="0"/>
      <w:marBottom w:val="0"/>
      <w:divBdr>
        <w:top w:val="none" w:sz="0" w:space="0" w:color="auto"/>
        <w:left w:val="none" w:sz="0" w:space="0" w:color="auto"/>
        <w:bottom w:val="none" w:sz="0" w:space="0" w:color="auto"/>
        <w:right w:val="none" w:sz="0" w:space="0" w:color="auto"/>
      </w:divBdr>
    </w:div>
    <w:div w:id="455566809">
      <w:bodyDiv w:val="1"/>
      <w:marLeft w:val="0"/>
      <w:marRight w:val="0"/>
      <w:marTop w:val="0"/>
      <w:marBottom w:val="0"/>
      <w:divBdr>
        <w:top w:val="none" w:sz="0" w:space="0" w:color="auto"/>
        <w:left w:val="none" w:sz="0" w:space="0" w:color="auto"/>
        <w:bottom w:val="none" w:sz="0" w:space="0" w:color="auto"/>
        <w:right w:val="none" w:sz="0" w:space="0" w:color="auto"/>
      </w:divBdr>
    </w:div>
    <w:div w:id="471364223">
      <w:bodyDiv w:val="1"/>
      <w:marLeft w:val="0"/>
      <w:marRight w:val="0"/>
      <w:marTop w:val="0"/>
      <w:marBottom w:val="0"/>
      <w:divBdr>
        <w:top w:val="none" w:sz="0" w:space="0" w:color="auto"/>
        <w:left w:val="none" w:sz="0" w:space="0" w:color="auto"/>
        <w:bottom w:val="none" w:sz="0" w:space="0" w:color="auto"/>
        <w:right w:val="none" w:sz="0" w:space="0" w:color="auto"/>
      </w:divBdr>
    </w:div>
    <w:div w:id="473986748">
      <w:bodyDiv w:val="1"/>
      <w:marLeft w:val="0"/>
      <w:marRight w:val="0"/>
      <w:marTop w:val="0"/>
      <w:marBottom w:val="0"/>
      <w:divBdr>
        <w:top w:val="none" w:sz="0" w:space="0" w:color="auto"/>
        <w:left w:val="none" w:sz="0" w:space="0" w:color="auto"/>
        <w:bottom w:val="none" w:sz="0" w:space="0" w:color="auto"/>
        <w:right w:val="none" w:sz="0" w:space="0" w:color="auto"/>
      </w:divBdr>
    </w:div>
    <w:div w:id="481507269">
      <w:bodyDiv w:val="1"/>
      <w:marLeft w:val="0"/>
      <w:marRight w:val="0"/>
      <w:marTop w:val="0"/>
      <w:marBottom w:val="0"/>
      <w:divBdr>
        <w:top w:val="none" w:sz="0" w:space="0" w:color="auto"/>
        <w:left w:val="none" w:sz="0" w:space="0" w:color="auto"/>
        <w:bottom w:val="none" w:sz="0" w:space="0" w:color="auto"/>
        <w:right w:val="none" w:sz="0" w:space="0" w:color="auto"/>
      </w:divBdr>
    </w:div>
    <w:div w:id="492180412">
      <w:bodyDiv w:val="1"/>
      <w:marLeft w:val="0"/>
      <w:marRight w:val="0"/>
      <w:marTop w:val="0"/>
      <w:marBottom w:val="0"/>
      <w:divBdr>
        <w:top w:val="none" w:sz="0" w:space="0" w:color="auto"/>
        <w:left w:val="none" w:sz="0" w:space="0" w:color="auto"/>
        <w:bottom w:val="none" w:sz="0" w:space="0" w:color="auto"/>
        <w:right w:val="none" w:sz="0" w:space="0" w:color="auto"/>
      </w:divBdr>
    </w:div>
    <w:div w:id="495877611">
      <w:bodyDiv w:val="1"/>
      <w:marLeft w:val="0"/>
      <w:marRight w:val="0"/>
      <w:marTop w:val="0"/>
      <w:marBottom w:val="0"/>
      <w:divBdr>
        <w:top w:val="none" w:sz="0" w:space="0" w:color="auto"/>
        <w:left w:val="none" w:sz="0" w:space="0" w:color="auto"/>
        <w:bottom w:val="none" w:sz="0" w:space="0" w:color="auto"/>
        <w:right w:val="none" w:sz="0" w:space="0" w:color="auto"/>
      </w:divBdr>
    </w:div>
    <w:div w:id="499780270">
      <w:bodyDiv w:val="1"/>
      <w:marLeft w:val="0"/>
      <w:marRight w:val="0"/>
      <w:marTop w:val="0"/>
      <w:marBottom w:val="0"/>
      <w:divBdr>
        <w:top w:val="none" w:sz="0" w:space="0" w:color="auto"/>
        <w:left w:val="none" w:sz="0" w:space="0" w:color="auto"/>
        <w:bottom w:val="none" w:sz="0" w:space="0" w:color="auto"/>
        <w:right w:val="none" w:sz="0" w:space="0" w:color="auto"/>
      </w:divBdr>
    </w:div>
    <w:div w:id="509181707">
      <w:bodyDiv w:val="1"/>
      <w:marLeft w:val="0"/>
      <w:marRight w:val="0"/>
      <w:marTop w:val="0"/>
      <w:marBottom w:val="0"/>
      <w:divBdr>
        <w:top w:val="none" w:sz="0" w:space="0" w:color="auto"/>
        <w:left w:val="none" w:sz="0" w:space="0" w:color="auto"/>
        <w:bottom w:val="none" w:sz="0" w:space="0" w:color="auto"/>
        <w:right w:val="none" w:sz="0" w:space="0" w:color="auto"/>
      </w:divBdr>
    </w:div>
    <w:div w:id="509371542">
      <w:bodyDiv w:val="1"/>
      <w:marLeft w:val="0"/>
      <w:marRight w:val="0"/>
      <w:marTop w:val="0"/>
      <w:marBottom w:val="0"/>
      <w:divBdr>
        <w:top w:val="none" w:sz="0" w:space="0" w:color="auto"/>
        <w:left w:val="none" w:sz="0" w:space="0" w:color="auto"/>
        <w:bottom w:val="none" w:sz="0" w:space="0" w:color="auto"/>
        <w:right w:val="none" w:sz="0" w:space="0" w:color="auto"/>
      </w:divBdr>
    </w:div>
    <w:div w:id="511989554">
      <w:bodyDiv w:val="1"/>
      <w:marLeft w:val="0"/>
      <w:marRight w:val="0"/>
      <w:marTop w:val="0"/>
      <w:marBottom w:val="0"/>
      <w:divBdr>
        <w:top w:val="none" w:sz="0" w:space="0" w:color="auto"/>
        <w:left w:val="none" w:sz="0" w:space="0" w:color="auto"/>
        <w:bottom w:val="none" w:sz="0" w:space="0" w:color="auto"/>
        <w:right w:val="none" w:sz="0" w:space="0" w:color="auto"/>
      </w:divBdr>
    </w:div>
    <w:div w:id="514347034">
      <w:bodyDiv w:val="1"/>
      <w:marLeft w:val="0"/>
      <w:marRight w:val="0"/>
      <w:marTop w:val="0"/>
      <w:marBottom w:val="0"/>
      <w:divBdr>
        <w:top w:val="none" w:sz="0" w:space="0" w:color="auto"/>
        <w:left w:val="none" w:sz="0" w:space="0" w:color="auto"/>
        <w:bottom w:val="none" w:sz="0" w:space="0" w:color="auto"/>
        <w:right w:val="none" w:sz="0" w:space="0" w:color="auto"/>
      </w:divBdr>
    </w:div>
    <w:div w:id="517014085">
      <w:bodyDiv w:val="1"/>
      <w:marLeft w:val="0"/>
      <w:marRight w:val="0"/>
      <w:marTop w:val="0"/>
      <w:marBottom w:val="0"/>
      <w:divBdr>
        <w:top w:val="none" w:sz="0" w:space="0" w:color="auto"/>
        <w:left w:val="none" w:sz="0" w:space="0" w:color="auto"/>
        <w:bottom w:val="none" w:sz="0" w:space="0" w:color="auto"/>
        <w:right w:val="none" w:sz="0" w:space="0" w:color="auto"/>
      </w:divBdr>
    </w:div>
    <w:div w:id="521430804">
      <w:bodyDiv w:val="1"/>
      <w:marLeft w:val="0"/>
      <w:marRight w:val="0"/>
      <w:marTop w:val="0"/>
      <w:marBottom w:val="0"/>
      <w:divBdr>
        <w:top w:val="none" w:sz="0" w:space="0" w:color="auto"/>
        <w:left w:val="none" w:sz="0" w:space="0" w:color="auto"/>
        <w:bottom w:val="none" w:sz="0" w:space="0" w:color="auto"/>
        <w:right w:val="none" w:sz="0" w:space="0" w:color="auto"/>
      </w:divBdr>
    </w:div>
    <w:div w:id="534343518">
      <w:bodyDiv w:val="1"/>
      <w:marLeft w:val="0"/>
      <w:marRight w:val="0"/>
      <w:marTop w:val="0"/>
      <w:marBottom w:val="0"/>
      <w:divBdr>
        <w:top w:val="none" w:sz="0" w:space="0" w:color="auto"/>
        <w:left w:val="none" w:sz="0" w:space="0" w:color="auto"/>
        <w:bottom w:val="none" w:sz="0" w:space="0" w:color="auto"/>
        <w:right w:val="none" w:sz="0" w:space="0" w:color="auto"/>
      </w:divBdr>
    </w:div>
    <w:div w:id="553200273">
      <w:bodyDiv w:val="1"/>
      <w:marLeft w:val="0"/>
      <w:marRight w:val="0"/>
      <w:marTop w:val="0"/>
      <w:marBottom w:val="0"/>
      <w:divBdr>
        <w:top w:val="none" w:sz="0" w:space="0" w:color="auto"/>
        <w:left w:val="none" w:sz="0" w:space="0" w:color="auto"/>
        <w:bottom w:val="none" w:sz="0" w:space="0" w:color="auto"/>
        <w:right w:val="none" w:sz="0" w:space="0" w:color="auto"/>
      </w:divBdr>
    </w:div>
    <w:div w:id="553585524">
      <w:bodyDiv w:val="1"/>
      <w:marLeft w:val="0"/>
      <w:marRight w:val="0"/>
      <w:marTop w:val="0"/>
      <w:marBottom w:val="0"/>
      <w:divBdr>
        <w:top w:val="none" w:sz="0" w:space="0" w:color="auto"/>
        <w:left w:val="none" w:sz="0" w:space="0" w:color="auto"/>
        <w:bottom w:val="none" w:sz="0" w:space="0" w:color="auto"/>
        <w:right w:val="none" w:sz="0" w:space="0" w:color="auto"/>
      </w:divBdr>
    </w:div>
    <w:div w:id="558899897">
      <w:bodyDiv w:val="1"/>
      <w:marLeft w:val="0"/>
      <w:marRight w:val="0"/>
      <w:marTop w:val="0"/>
      <w:marBottom w:val="0"/>
      <w:divBdr>
        <w:top w:val="none" w:sz="0" w:space="0" w:color="auto"/>
        <w:left w:val="none" w:sz="0" w:space="0" w:color="auto"/>
        <w:bottom w:val="none" w:sz="0" w:space="0" w:color="auto"/>
        <w:right w:val="none" w:sz="0" w:space="0" w:color="auto"/>
      </w:divBdr>
    </w:div>
    <w:div w:id="574046883">
      <w:bodyDiv w:val="1"/>
      <w:marLeft w:val="0"/>
      <w:marRight w:val="0"/>
      <w:marTop w:val="0"/>
      <w:marBottom w:val="0"/>
      <w:divBdr>
        <w:top w:val="none" w:sz="0" w:space="0" w:color="auto"/>
        <w:left w:val="none" w:sz="0" w:space="0" w:color="auto"/>
        <w:bottom w:val="none" w:sz="0" w:space="0" w:color="auto"/>
        <w:right w:val="none" w:sz="0" w:space="0" w:color="auto"/>
      </w:divBdr>
    </w:div>
    <w:div w:id="585112362">
      <w:bodyDiv w:val="1"/>
      <w:marLeft w:val="0"/>
      <w:marRight w:val="0"/>
      <w:marTop w:val="0"/>
      <w:marBottom w:val="0"/>
      <w:divBdr>
        <w:top w:val="none" w:sz="0" w:space="0" w:color="auto"/>
        <w:left w:val="none" w:sz="0" w:space="0" w:color="auto"/>
        <w:bottom w:val="none" w:sz="0" w:space="0" w:color="auto"/>
        <w:right w:val="none" w:sz="0" w:space="0" w:color="auto"/>
      </w:divBdr>
    </w:div>
    <w:div w:id="587424841">
      <w:bodyDiv w:val="1"/>
      <w:marLeft w:val="0"/>
      <w:marRight w:val="0"/>
      <w:marTop w:val="0"/>
      <w:marBottom w:val="0"/>
      <w:divBdr>
        <w:top w:val="none" w:sz="0" w:space="0" w:color="auto"/>
        <w:left w:val="none" w:sz="0" w:space="0" w:color="auto"/>
        <w:bottom w:val="none" w:sz="0" w:space="0" w:color="auto"/>
        <w:right w:val="none" w:sz="0" w:space="0" w:color="auto"/>
      </w:divBdr>
    </w:div>
    <w:div w:id="587881729">
      <w:bodyDiv w:val="1"/>
      <w:marLeft w:val="0"/>
      <w:marRight w:val="0"/>
      <w:marTop w:val="0"/>
      <w:marBottom w:val="0"/>
      <w:divBdr>
        <w:top w:val="none" w:sz="0" w:space="0" w:color="auto"/>
        <w:left w:val="none" w:sz="0" w:space="0" w:color="auto"/>
        <w:bottom w:val="none" w:sz="0" w:space="0" w:color="auto"/>
        <w:right w:val="none" w:sz="0" w:space="0" w:color="auto"/>
      </w:divBdr>
    </w:div>
    <w:div w:id="593124902">
      <w:bodyDiv w:val="1"/>
      <w:marLeft w:val="0"/>
      <w:marRight w:val="0"/>
      <w:marTop w:val="0"/>
      <w:marBottom w:val="0"/>
      <w:divBdr>
        <w:top w:val="none" w:sz="0" w:space="0" w:color="auto"/>
        <w:left w:val="none" w:sz="0" w:space="0" w:color="auto"/>
        <w:bottom w:val="none" w:sz="0" w:space="0" w:color="auto"/>
        <w:right w:val="none" w:sz="0" w:space="0" w:color="auto"/>
      </w:divBdr>
    </w:div>
    <w:div w:id="593785157">
      <w:bodyDiv w:val="1"/>
      <w:marLeft w:val="0"/>
      <w:marRight w:val="0"/>
      <w:marTop w:val="0"/>
      <w:marBottom w:val="0"/>
      <w:divBdr>
        <w:top w:val="none" w:sz="0" w:space="0" w:color="auto"/>
        <w:left w:val="none" w:sz="0" w:space="0" w:color="auto"/>
        <w:bottom w:val="none" w:sz="0" w:space="0" w:color="auto"/>
        <w:right w:val="none" w:sz="0" w:space="0" w:color="auto"/>
      </w:divBdr>
    </w:div>
    <w:div w:id="595528470">
      <w:bodyDiv w:val="1"/>
      <w:marLeft w:val="0"/>
      <w:marRight w:val="0"/>
      <w:marTop w:val="0"/>
      <w:marBottom w:val="0"/>
      <w:divBdr>
        <w:top w:val="none" w:sz="0" w:space="0" w:color="auto"/>
        <w:left w:val="none" w:sz="0" w:space="0" w:color="auto"/>
        <w:bottom w:val="none" w:sz="0" w:space="0" w:color="auto"/>
        <w:right w:val="none" w:sz="0" w:space="0" w:color="auto"/>
      </w:divBdr>
    </w:div>
    <w:div w:id="601837379">
      <w:bodyDiv w:val="1"/>
      <w:marLeft w:val="0"/>
      <w:marRight w:val="0"/>
      <w:marTop w:val="0"/>
      <w:marBottom w:val="0"/>
      <w:divBdr>
        <w:top w:val="none" w:sz="0" w:space="0" w:color="auto"/>
        <w:left w:val="none" w:sz="0" w:space="0" w:color="auto"/>
        <w:bottom w:val="none" w:sz="0" w:space="0" w:color="auto"/>
        <w:right w:val="none" w:sz="0" w:space="0" w:color="auto"/>
      </w:divBdr>
    </w:div>
    <w:div w:id="604310271">
      <w:bodyDiv w:val="1"/>
      <w:marLeft w:val="0"/>
      <w:marRight w:val="0"/>
      <w:marTop w:val="0"/>
      <w:marBottom w:val="0"/>
      <w:divBdr>
        <w:top w:val="none" w:sz="0" w:space="0" w:color="auto"/>
        <w:left w:val="none" w:sz="0" w:space="0" w:color="auto"/>
        <w:bottom w:val="none" w:sz="0" w:space="0" w:color="auto"/>
        <w:right w:val="none" w:sz="0" w:space="0" w:color="auto"/>
      </w:divBdr>
    </w:div>
    <w:div w:id="611595671">
      <w:bodyDiv w:val="1"/>
      <w:marLeft w:val="0"/>
      <w:marRight w:val="0"/>
      <w:marTop w:val="0"/>
      <w:marBottom w:val="0"/>
      <w:divBdr>
        <w:top w:val="none" w:sz="0" w:space="0" w:color="auto"/>
        <w:left w:val="none" w:sz="0" w:space="0" w:color="auto"/>
        <w:bottom w:val="none" w:sz="0" w:space="0" w:color="auto"/>
        <w:right w:val="none" w:sz="0" w:space="0" w:color="auto"/>
      </w:divBdr>
    </w:div>
    <w:div w:id="611977968">
      <w:bodyDiv w:val="1"/>
      <w:marLeft w:val="0"/>
      <w:marRight w:val="0"/>
      <w:marTop w:val="0"/>
      <w:marBottom w:val="0"/>
      <w:divBdr>
        <w:top w:val="none" w:sz="0" w:space="0" w:color="auto"/>
        <w:left w:val="none" w:sz="0" w:space="0" w:color="auto"/>
        <w:bottom w:val="none" w:sz="0" w:space="0" w:color="auto"/>
        <w:right w:val="none" w:sz="0" w:space="0" w:color="auto"/>
      </w:divBdr>
    </w:div>
    <w:div w:id="615478216">
      <w:bodyDiv w:val="1"/>
      <w:marLeft w:val="0"/>
      <w:marRight w:val="0"/>
      <w:marTop w:val="0"/>
      <w:marBottom w:val="0"/>
      <w:divBdr>
        <w:top w:val="none" w:sz="0" w:space="0" w:color="auto"/>
        <w:left w:val="none" w:sz="0" w:space="0" w:color="auto"/>
        <w:bottom w:val="none" w:sz="0" w:space="0" w:color="auto"/>
        <w:right w:val="none" w:sz="0" w:space="0" w:color="auto"/>
      </w:divBdr>
    </w:div>
    <w:div w:id="624434025">
      <w:bodyDiv w:val="1"/>
      <w:marLeft w:val="0"/>
      <w:marRight w:val="0"/>
      <w:marTop w:val="0"/>
      <w:marBottom w:val="0"/>
      <w:divBdr>
        <w:top w:val="none" w:sz="0" w:space="0" w:color="auto"/>
        <w:left w:val="none" w:sz="0" w:space="0" w:color="auto"/>
        <w:bottom w:val="none" w:sz="0" w:space="0" w:color="auto"/>
        <w:right w:val="none" w:sz="0" w:space="0" w:color="auto"/>
      </w:divBdr>
    </w:div>
    <w:div w:id="626397254">
      <w:bodyDiv w:val="1"/>
      <w:marLeft w:val="0"/>
      <w:marRight w:val="0"/>
      <w:marTop w:val="0"/>
      <w:marBottom w:val="0"/>
      <w:divBdr>
        <w:top w:val="none" w:sz="0" w:space="0" w:color="auto"/>
        <w:left w:val="none" w:sz="0" w:space="0" w:color="auto"/>
        <w:bottom w:val="none" w:sz="0" w:space="0" w:color="auto"/>
        <w:right w:val="none" w:sz="0" w:space="0" w:color="auto"/>
      </w:divBdr>
    </w:div>
    <w:div w:id="627707109">
      <w:bodyDiv w:val="1"/>
      <w:marLeft w:val="0"/>
      <w:marRight w:val="0"/>
      <w:marTop w:val="0"/>
      <w:marBottom w:val="0"/>
      <w:divBdr>
        <w:top w:val="none" w:sz="0" w:space="0" w:color="auto"/>
        <w:left w:val="none" w:sz="0" w:space="0" w:color="auto"/>
        <w:bottom w:val="none" w:sz="0" w:space="0" w:color="auto"/>
        <w:right w:val="none" w:sz="0" w:space="0" w:color="auto"/>
      </w:divBdr>
    </w:div>
    <w:div w:id="627903552">
      <w:bodyDiv w:val="1"/>
      <w:marLeft w:val="0"/>
      <w:marRight w:val="0"/>
      <w:marTop w:val="0"/>
      <w:marBottom w:val="0"/>
      <w:divBdr>
        <w:top w:val="none" w:sz="0" w:space="0" w:color="auto"/>
        <w:left w:val="none" w:sz="0" w:space="0" w:color="auto"/>
        <w:bottom w:val="none" w:sz="0" w:space="0" w:color="auto"/>
        <w:right w:val="none" w:sz="0" w:space="0" w:color="auto"/>
      </w:divBdr>
    </w:div>
    <w:div w:id="630481162">
      <w:bodyDiv w:val="1"/>
      <w:marLeft w:val="0"/>
      <w:marRight w:val="0"/>
      <w:marTop w:val="0"/>
      <w:marBottom w:val="0"/>
      <w:divBdr>
        <w:top w:val="none" w:sz="0" w:space="0" w:color="auto"/>
        <w:left w:val="none" w:sz="0" w:space="0" w:color="auto"/>
        <w:bottom w:val="none" w:sz="0" w:space="0" w:color="auto"/>
        <w:right w:val="none" w:sz="0" w:space="0" w:color="auto"/>
      </w:divBdr>
    </w:div>
    <w:div w:id="631398200">
      <w:bodyDiv w:val="1"/>
      <w:marLeft w:val="0"/>
      <w:marRight w:val="0"/>
      <w:marTop w:val="0"/>
      <w:marBottom w:val="0"/>
      <w:divBdr>
        <w:top w:val="none" w:sz="0" w:space="0" w:color="auto"/>
        <w:left w:val="none" w:sz="0" w:space="0" w:color="auto"/>
        <w:bottom w:val="none" w:sz="0" w:space="0" w:color="auto"/>
        <w:right w:val="none" w:sz="0" w:space="0" w:color="auto"/>
      </w:divBdr>
    </w:div>
    <w:div w:id="633020214">
      <w:bodyDiv w:val="1"/>
      <w:marLeft w:val="0"/>
      <w:marRight w:val="0"/>
      <w:marTop w:val="0"/>
      <w:marBottom w:val="0"/>
      <w:divBdr>
        <w:top w:val="none" w:sz="0" w:space="0" w:color="auto"/>
        <w:left w:val="none" w:sz="0" w:space="0" w:color="auto"/>
        <w:bottom w:val="none" w:sz="0" w:space="0" w:color="auto"/>
        <w:right w:val="none" w:sz="0" w:space="0" w:color="auto"/>
      </w:divBdr>
    </w:div>
    <w:div w:id="633758217">
      <w:bodyDiv w:val="1"/>
      <w:marLeft w:val="0"/>
      <w:marRight w:val="0"/>
      <w:marTop w:val="0"/>
      <w:marBottom w:val="0"/>
      <w:divBdr>
        <w:top w:val="none" w:sz="0" w:space="0" w:color="auto"/>
        <w:left w:val="none" w:sz="0" w:space="0" w:color="auto"/>
        <w:bottom w:val="none" w:sz="0" w:space="0" w:color="auto"/>
        <w:right w:val="none" w:sz="0" w:space="0" w:color="auto"/>
      </w:divBdr>
    </w:div>
    <w:div w:id="645356082">
      <w:bodyDiv w:val="1"/>
      <w:marLeft w:val="0"/>
      <w:marRight w:val="0"/>
      <w:marTop w:val="0"/>
      <w:marBottom w:val="0"/>
      <w:divBdr>
        <w:top w:val="none" w:sz="0" w:space="0" w:color="auto"/>
        <w:left w:val="none" w:sz="0" w:space="0" w:color="auto"/>
        <w:bottom w:val="none" w:sz="0" w:space="0" w:color="auto"/>
        <w:right w:val="none" w:sz="0" w:space="0" w:color="auto"/>
      </w:divBdr>
    </w:div>
    <w:div w:id="652566727">
      <w:bodyDiv w:val="1"/>
      <w:marLeft w:val="0"/>
      <w:marRight w:val="0"/>
      <w:marTop w:val="0"/>
      <w:marBottom w:val="0"/>
      <w:divBdr>
        <w:top w:val="none" w:sz="0" w:space="0" w:color="auto"/>
        <w:left w:val="none" w:sz="0" w:space="0" w:color="auto"/>
        <w:bottom w:val="none" w:sz="0" w:space="0" w:color="auto"/>
        <w:right w:val="none" w:sz="0" w:space="0" w:color="auto"/>
      </w:divBdr>
    </w:div>
    <w:div w:id="659113550">
      <w:bodyDiv w:val="1"/>
      <w:marLeft w:val="0"/>
      <w:marRight w:val="0"/>
      <w:marTop w:val="0"/>
      <w:marBottom w:val="0"/>
      <w:divBdr>
        <w:top w:val="none" w:sz="0" w:space="0" w:color="auto"/>
        <w:left w:val="none" w:sz="0" w:space="0" w:color="auto"/>
        <w:bottom w:val="none" w:sz="0" w:space="0" w:color="auto"/>
        <w:right w:val="none" w:sz="0" w:space="0" w:color="auto"/>
      </w:divBdr>
    </w:div>
    <w:div w:id="659430471">
      <w:bodyDiv w:val="1"/>
      <w:marLeft w:val="0"/>
      <w:marRight w:val="0"/>
      <w:marTop w:val="0"/>
      <w:marBottom w:val="0"/>
      <w:divBdr>
        <w:top w:val="none" w:sz="0" w:space="0" w:color="auto"/>
        <w:left w:val="none" w:sz="0" w:space="0" w:color="auto"/>
        <w:bottom w:val="none" w:sz="0" w:space="0" w:color="auto"/>
        <w:right w:val="none" w:sz="0" w:space="0" w:color="auto"/>
      </w:divBdr>
    </w:div>
    <w:div w:id="663777078">
      <w:bodyDiv w:val="1"/>
      <w:marLeft w:val="0"/>
      <w:marRight w:val="0"/>
      <w:marTop w:val="0"/>
      <w:marBottom w:val="0"/>
      <w:divBdr>
        <w:top w:val="none" w:sz="0" w:space="0" w:color="auto"/>
        <w:left w:val="none" w:sz="0" w:space="0" w:color="auto"/>
        <w:bottom w:val="none" w:sz="0" w:space="0" w:color="auto"/>
        <w:right w:val="none" w:sz="0" w:space="0" w:color="auto"/>
      </w:divBdr>
    </w:div>
    <w:div w:id="679284970">
      <w:bodyDiv w:val="1"/>
      <w:marLeft w:val="0"/>
      <w:marRight w:val="0"/>
      <w:marTop w:val="0"/>
      <w:marBottom w:val="0"/>
      <w:divBdr>
        <w:top w:val="none" w:sz="0" w:space="0" w:color="auto"/>
        <w:left w:val="none" w:sz="0" w:space="0" w:color="auto"/>
        <w:bottom w:val="none" w:sz="0" w:space="0" w:color="auto"/>
        <w:right w:val="none" w:sz="0" w:space="0" w:color="auto"/>
      </w:divBdr>
    </w:div>
    <w:div w:id="682053367">
      <w:bodyDiv w:val="1"/>
      <w:marLeft w:val="0"/>
      <w:marRight w:val="0"/>
      <w:marTop w:val="0"/>
      <w:marBottom w:val="0"/>
      <w:divBdr>
        <w:top w:val="none" w:sz="0" w:space="0" w:color="auto"/>
        <w:left w:val="none" w:sz="0" w:space="0" w:color="auto"/>
        <w:bottom w:val="none" w:sz="0" w:space="0" w:color="auto"/>
        <w:right w:val="none" w:sz="0" w:space="0" w:color="auto"/>
      </w:divBdr>
    </w:div>
    <w:div w:id="682249054">
      <w:bodyDiv w:val="1"/>
      <w:marLeft w:val="0"/>
      <w:marRight w:val="0"/>
      <w:marTop w:val="0"/>
      <w:marBottom w:val="0"/>
      <w:divBdr>
        <w:top w:val="none" w:sz="0" w:space="0" w:color="auto"/>
        <w:left w:val="none" w:sz="0" w:space="0" w:color="auto"/>
        <w:bottom w:val="none" w:sz="0" w:space="0" w:color="auto"/>
        <w:right w:val="none" w:sz="0" w:space="0" w:color="auto"/>
      </w:divBdr>
    </w:div>
    <w:div w:id="684013760">
      <w:bodyDiv w:val="1"/>
      <w:marLeft w:val="0"/>
      <w:marRight w:val="0"/>
      <w:marTop w:val="0"/>
      <w:marBottom w:val="0"/>
      <w:divBdr>
        <w:top w:val="none" w:sz="0" w:space="0" w:color="auto"/>
        <w:left w:val="none" w:sz="0" w:space="0" w:color="auto"/>
        <w:bottom w:val="none" w:sz="0" w:space="0" w:color="auto"/>
        <w:right w:val="none" w:sz="0" w:space="0" w:color="auto"/>
      </w:divBdr>
    </w:div>
    <w:div w:id="686055017">
      <w:bodyDiv w:val="1"/>
      <w:marLeft w:val="0"/>
      <w:marRight w:val="0"/>
      <w:marTop w:val="0"/>
      <w:marBottom w:val="0"/>
      <w:divBdr>
        <w:top w:val="none" w:sz="0" w:space="0" w:color="auto"/>
        <w:left w:val="none" w:sz="0" w:space="0" w:color="auto"/>
        <w:bottom w:val="none" w:sz="0" w:space="0" w:color="auto"/>
        <w:right w:val="none" w:sz="0" w:space="0" w:color="auto"/>
      </w:divBdr>
    </w:div>
    <w:div w:id="691611519">
      <w:bodyDiv w:val="1"/>
      <w:marLeft w:val="0"/>
      <w:marRight w:val="0"/>
      <w:marTop w:val="0"/>
      <w:marBottom w:val="0"/>
      <w:divBdr>
        <w:top w:val="none" w:sz="0" w:space="0" w:color="auto"/>
        <w:left w:val="none" w:sz="0" w:space="0" w:color="auto"/>
        <w:bottom w:val="none" w:sz="0" w:space="0" w:color="auto"/>
        <w:right w:val="none" w:sz="0" w:space="0" w:color="auto"/>
      </w:divBdr>
    </w:div>
    <w:div w:id="694112075">
      <w:bodyDiv w:val="1"/>
      <w:marLeft w:val="0"/>
      <w:marRight w:val="0"/>
      <w:marTop w:val="0"/>
      <w:marBottom w:val="0"/>
      <w:divBdr>
        <w:top w:val="none" w:sz="0" w:space="0" w:color="auto"/>
        <w:left w:val="none" w:sz="0" w:space="0" w:color="auto"/>
        <w:bottom w:val="none" w:sz="0" w:space="0" w:color="auto"/>
        <w:right w:val="none" w:sz="0" w:space="0" w:color="auto"/>
      </w:divBdr>
    </w:div>
    <w:div w:id="704447585">
      <w:bodyDiv w:val="1"/>
      <w:marLeft w:val="0"/>
      <w:marRight w:val="0"/>
      <w:marTop w:val="0"/>
      <w:marBottom w:val="0"/>
      <w:divBdr>
        <w:top w:val="none" w:sz="0" w:space="0" w:color="auto"/>
        <w:left w:val="none" w:sz="0" w:space="0" w:color="auto"/>
        <w:bottom w:val="none" w:sz="0" w:space="0" w:color="auto"/>
        <w:right w:val="none" w:sz="0" w:space="0" w:color="auto"/>
      </w:divBdr>
    </w:div>
    <w:div w:id="704989570">
      <w:bodyDiv w:val="1"/>
      <w:marLeft w:val="0"/>
      <w:marRight w:val="0"/>
      <w:marTop w:val="0"/>
      <w:marBottom w:val="0"/>
      <w:divBdr>
        <w:top w:val="none" w:sz="0" w:space="0" w:color="auto"/>
        <w:left w:val="none" w:sz="0" w:space="0" w:color="auto"/>
        <w:bottom w:val="none" w:sz="0" w:space="0" w:color="auto"/>
        <w:right w:val="none" w:sz="0" w:space="0" w:color="auto"/>
      </w:divBdr>
    </w:div>
    <w:div w:id="711923465">
      <w:bodyDiv w:val="1"/>
      <w:marLeft w:val="0"/>
      <w:marRight w:val="0"/>
      <w:marTop w:val="0"/>
      <w:marBottom w:val="0"/>
      <w:divBdr>
        <w:top w:val="none" w:sz="0" w:space="0" w:color="auto"/>
        <w:left w:val="none" w:sz="0" w:space="0" w:color="auto"/>
        <w:bottom w:val="none" w:sz="0" w:space="0" w:color="auto"/>
        <w:right w:val="none" w:sz="0" w:space="0" w:color="auto"/>
      </w:divBdr>
    </w:div>
    <w:div w:id="712386310">
      <w:bodyDiv w:val="1"/>
      <w:marLeft w:val="0"/>
      <w:marRight w:val="0"/>
      <w:marTop w:val="0"/>
      <w:marBottom w:val="0"/>
      <w:divBdr>
        <w:top w:val="none" w:sz="0" w:space="0" w:color="auto"/>
        <w:left w:val="none" w:sz="0" w:space="0" w:color="auto"/>
        <w:bottom w:val="none" w:sz="0" w:space="0" w:color="auto"/>
        <w:right w:val="none" w:sz="0" w:space="0" w:color="auto"/>
      </w:divBdr>
    </w:div>
    <w:div w:id="712534111">
      <w:bodyDiv w:val="1"/>
      <w:marLeft w:val="0"/>
      <w:marRight w:val="0"/>
      <w:marTop w:val="0"/>
      <w:marBottom w:val="0"/>
      <w:divBdr>
        <w:top w:val="none" w:sz="0" w:space="0" w:color="auto"/>
        <w:left w:val="none" w:sz="0" w:space="0" w:color="auto"/>
        <w:bottom w:val="none" w:sz="0" w:space="0" w:color="auto"/>
        <w:right w:val="none" w:sz="0" w:space="0" w:color="auto"/>
      </w:divBdr>
    </w:div>
    <w:div w:id="713889247">
      <w:bodyDiv w:val="1"/>
      <w:marLeft w:val="0"/>
      <w:marRight w:val="0"/>
      <w:marTop w:val="0"/>
      <w:marBottom w:val="0"/>
      <w:divBdr>
        <w:top w:val="none" w:sz="0" w:space="0" w:color="auto"/>
        <w:left w:val="none" w:sz="0" w:space="0" w:color="auto"/>
        <w:bottom w:val="none" w:sz="0" w:space="0" w:color="auto"/>
        <w:right w:val="none" w:sz="0" w:space="0" w:color="auto"/>
      </w:divBdr>
    </w:div>
    <w:div w:id="723599125">
      <w:bodyDiv w:val="1"/>
      <w:marLeft w:val="0"/>
      <w:marRight w:val="0"/>
      <w:marTop w:val="0"/>
      <w:marBottom w:val="0"/>
      <w:divBdr>
        <w:top w:val="none" w:sz="0" w:space="0" w:color="auto"/>
        <w:left w:val="none" w:sz="0" w:space="0" w:color="auto"/>
        <w:bottom w:val="none" w:sz="0" w:space="0" w:color="auto"/>
        <w:right w:val="none" w:sz="0" w:space="0" w:color="auto"/>
      </w:divBdr>
    </w:div>
    <w:div w:id="725372193">
      <w:bodyDiv w:val="1"/>
      <w:marLeft w:val="0"/>
      <w:marRight w:val="0"/>
      <w:marTop w:val="0"/>
      <w:marBottom w:val="0"/>
      <w:divBdr>
        <w:top w:val="none" w:sz="0" w:space="0" w:color="auto"/>
        <w:left w:val="none" w:sz="0" w:space="0" w:color="auto"/>
        <w:bottom w:val="none" w:sz="0" w:space="0" w:color="auto"/>
        <w:right w:val="none" w:sz="0" w:space="0" w:color="auto"/>
      </w:divBdr>
    </w:div>
    <w:div w:id="736127840">
      <w:bodyDiv w:val="1"/>
      <w:marLeft w:val="0"/>
      <w:marRight w:val="0"/>
      <w:marTop w:val="0"/>
      <w:marBottom w:val="0"/>
      <w:divBdr>
        <w:top w:val="none" w:sz="0" w:space="0" w:color="auto"/>
        <w:left w:val="none" w:sz="0" w:space="0" w:color="auto"/>
        <w:bottom w:val="none" w:sz="0" w:space="0" w:color="auto"/>
        <w:right w:val="none" w:sz="0" w:space="0" w:color="auto"/>
      </w:divBdr>
    </w:div>
    <w:div w:id="742948566">
      <w:bodyDiv w:val="1"/>
      <w:marLeft w:val="0"/>
      <w:marRight w:val="0"/>
      <w:marTop w:val="0"/>
      <w:marBottom w:val="0"/>
      <w:divBdr>
        <w:top w:val="none" w:sz="0" w:space="0" w:color="auto"/>
        <w:left w:val="none" w:sz="0" w:space="0" w:color="auto"/>
        <w:bottom w:val="none" w:sz="0" w:space="0" w:color="auto"/>
        <w:right w:val="none" w:sz="0" w:space="0" w:color="auto"/>
      </w:divBdr>
    </w:div>
    <w:div w:id="744954290">
      <w:bodyDiv w:val="1"/>
      <w:marLeft w:val="0"/>
      <w:marRight w:val="0"/>
      <w:marTop w:val="0"/>
      <w:marBottom w:val="0"/>
      <w:divBdr>
        <w:top w:val="none" w:sz="0" w:space="0" w:color="auto"/>
        <w:left w:val="none" w:sz="0" w:space="0" w:color="auto"/>
        <w:bottom w:val="none" w:sz="0" w:space="0" w:color="auto"/>
        <w:right w:val="none" w:sz="0" w:space="0" w:color="auto"/>
      </w:divBdr>
    </w:div>
    <w:div w:id="748966397">
      <w:bodyDiv w:val="1"/>
      <w:marLeft w:val="0"/>
      <w:marRight w:val="0"/>
      <w:marTop w:val="0"/>
      <w:marBottom w:val="0"/>
      <w:divBdr>
        <w:top w:val="none" w:sz="0" w:space="0" w:color="auto"/>
        <w:left w:val="none" w:sz="0" w:space="0" w:color="auto"/>
        <w:bottom w:val="none" w:sz="0" w:space="0" w:color="auto"/>
        <w:right w:val="none" w:sz="0" w:space="0" w:color="auto"/>
      </w:divBdr>
    </w:div>
    <w:div w:id="753890985">
      <w:bodyDiv w:val="1"/>
      <w:marLeft w:val="0"/>
      <w:marRight w:val="0"/>
      <w:marTop w:val="0"/>
      <w:marBottom w:val="0"/>
      <w:divBdr>
        <w:top w:val="none" w:sz="0" w:space="0" w:color="auto"/>
        <w:left w:val="none" w:sz="0" w:space="0" w:color="auto"/>
        <w:bottom w:val="none" w:sz="0" w:space="0" w:color="auto"/>
        <w:right w:val="none" w:sz="0" w:space="0" w:color="auto"/>
      </w:divBdr>
    </w:div>
    <w:div w:id="757596395">
      <w:bodyDiv w:val="1"/>
      <w:marLeft w:val="0"/>
      <w:marRight w:val="0"/>
      <w:marTop w:val="0"/>
      <w:marBottom w:val="0"/>
      <w:divBdr>
        <w:top w:val="none" w:sz="0" w:space="0" w:color="auto"/>
        <w:left w:val="none" w:sz="0" w:space="0" w:color="auto"/>
        <w:bottom w:val="none" w:sz="0" w:space="0" w:color="auto"/>
        <w:right w:val="none" w:sz="0" w:space="0" w:color="auto"/>
      </w:divBdr>
    </w:div>
    <w:div w:id="759062606">
      <w:bodyDiv w:val="1"/>
      <w:marLeft w:val="0"/>
      <w:marRight w:val="0"/>
      <w:marTop w:val="0"/>
      <w:marBottom w:val="0"/>
      <w:divBdr>
        <w:top w:val="none" w:sz="0" w:space="0" w:color="auto"/>
        <w:left w:val="none" w:sz="0" w:space="0" w:color="auto"/>
        <w:bottom w:val="none" w:sz="0" w:space="0" w:color="auto"/>
        <w:right w:val="none" w:sz="0" w:space="0" w:color="auto"/>
      </w:divBdr>
    </w:div>
    <w:div w:id="765536840">
      <w:bodyDiv w:val="1"/>
      <w:marLeft w:val="0"/>
      <w:marRight w:val="0"/>
      <w:marTop w:val="0"/>
      <w:marBottom w:val="0"/>
      <w:divBdr>
        <w:top w:val="none" w:sz="0" w:space="0" w:color="auto"/>
        <w:left w:val="none" w:sz="0" w:space="0" w:color="auto"/>
        <w:bottom w:val="none" w:sz="0" w:space="0" w:color="auto"/>
        <w:right w:val="none" w:sz="0" w:space="0" w:color="auto"/>
      </w:divBdr>
    </w:div>
    <w:div w:id="766079687">
      <w:bodyDiv w:val="1"/>
      <w:marLeft w:val="0"/>
      <w:marRight w:val="0"/>
      <w:marTop w:val="0"/>
      <w:marBottom w:val="0"/>
      <w:divBdr>
        <w:top w:val="none" w:sz="0" w:space="0" w:color="auto"/>
        <w:left w:val="none" w:sz="0" w:space="0" w:color="auto"/>
        <w:bottom w:val="none" w:sz="0" w:space="0" w:color="auto"/>
        <w:right w:val="none" w:sz="0" w:space="0" w:color="auto"/>
      </w:divBdr>
    </w:div>
    <w:div w:id="769203937">
      <w:bodyDiv w:val="1"/>
      <w:marLeft w:val="0"/>
      <w:marRight w:val="0"/>
      <w:marTop w:val="0"/>
      <w:marBottom w:val="0"/>
      <w:divBdr>
        <w:top w:val="none" w:sz="0" w:space="0" w:color="auto"/>
        <w:left w:val="none" w:sz="0" w:space="0" w:color="auto"/>
        <w:bottom w:val="none" w:sz="0" w:space="0" w:color="auto"/>
        <w:right w:val="none" w:sz="0" w:space="0" w:color="auto"/>
      </w:divBdr>
    </w:div>
    <w:div w:id="771826003">
      <w:bodyDiv w:val="1"/>
      <w:marLeft w:val="0"/>
      <w:marRight w:val="0"/>
      <w:marTop w:val="0"/>
      <w:marBottom w:val="0"/>
      <w:divBdr>
        <w:top w:val="none" w:sz="0" w:space="0" w:color="auto"/>
        <w:left w:val="none" w:sz="0" w:space="0" w:color="auto"/>
        <w:bottom w:val="none" w:sz="0" w:space="0" w:color="auto"/>
        <w:right w:val="none" w:sz="0" w:space="0" w:color="auto"/>
      </w:divBdr>
    </w:div>
    <w:div w:id="776218280">
      <w:bodyDiv w:val="1"/>
      <w:marLeft w:val="0"/>
      <w:marRight w:val="0"/>
      <w:marTop w:val="0"/>
      <w:marBottom w:val="0"/>
      <w:divBdr>
        <w:top w:val="none" w:sz="0" w:space="0" w:color="auto"/>
        <w:left w:val="none" w:sz="0" w:space="0" w:color="auto"/>
        <w:bottom w:val="none" w:sz="0" w:space="0" w:color="auto"/>
        <w:right w:val="none" w:sz="0" w:space="0" w:color="auto"/>
      </w:divBdr>
    </w:div>
    <w:div w:id="777599800">
      <w:bodyDiv w:val="1"/>
      <w:marLeft w:val="0"/>
      <w:marRight w:val="0"/>
      <w:marTop w:val="0"/>
      <w:marBottom w:val="0"/>
      <w:divBdr>
        <w:top w:val="none" w:sz="0" w:space="0" w:color="auto"/>
        <w:left w:val="none" w:sz="0" w:space="0" w:color="auto"/>
        <w:bottom w:val="none" w:sz="0" w:space="0" w:color="auto"/>
        <w:right w:val="none" w:sz="0" w:space="0" w:color="auto"/>
      </w:divBdr>
    </w:div>
    <w:div w:id="795804411">
      <w:bodyDiv w:val="1"/>
      <w:marLeft w:val="0"/>
      <w:marRight w:val="0"/>
      <w:marTop w:val="0"/>
      <w:marBottom w:val="0"/>
      <w:divBdr>
        <w:top w:val="none" w:sz="0" w:space="0" w:color="auto"/>
        <w:left w:val="none" w:sz="0" w:space="0" w:color="auto"/>
        <w:bottom w:val="none" w:sz="0" w:space="0" w:color="auto"/>
        <w:right w:val="none" w:sz="0" w:space="0" w:color="auto"/>
      </w:divBdr>
    </w:div>
    <w:div w:id="796340799">
      <w:bodyDiv w:val="1"/>
      <w:marLeft w:val="0"/>
      <w:marRight w:val="0"/>
      <w:marTop w:val="0"/>
      <w:marBottom w:val="0"/>
      <w:divBdr>
        <w:top w:val="none" w:sz="0" w:space="0" w:color="auto"/>
        <w:left w:val="none" w:sz="0" w:space="0" w:color="auto"/>
        <w:bottom w:val="none" w:sz="0" w:space="0" w:color="auto"/>
        <w:right w:val="none" w:sz="0" w:space="0" w:color="auto"/>
      </w:divBdr>
    </w:div>
    <w:div w:id="803541045">
      <w:bodyDiv w:val="1"/>
      <w:marLeft w:val="0"/>
      <w:marRight w:val="0"/>
      <w:marTop w:val="0"/>
      <w:marBottom w:val="0"/>
      <w:divBdr>
        <w:top w:val="none" w:sz="0" w:space="0" w:color="auto"/>
        <w:left w:val="none" w:sz="0" w:space="0" w:color="auto"/>
        <w:bottom w:val="none" w:sz="0" w:space="0" w:color="auto"/>
        <w:right w:val="none" w:sz="0" w:space="0" w:color="auto"/>
      </w:divBdr>
    </w:div>
    <w:div w:id="805320127">
      <w:bodyDiv w:val="1"/>
      <w:marLeft w:val="0"/>
      <w:marRight w:val="0"/>
      <w:marTop w:val="0"/>
      <w:marBottom w:val="0"/>
      <w:divBdr>
        <w:top w:val="none" w:sz="0" w:space="0" w:color="auto"/>
        <w:left w:val="none" w:sz="0" w:space="0" w:color="auto"/>
        <w:bottom w:val="none" w:sz="0" w:space="0" w:color="auto"/>
        <w:right w:val="none" w:sz="0" w:space="0" w:color="auto"/>
      </w:divBdr>
    </w:div>
    <w:div w:id="806506526">
      <w:bodyDiv w:val="1"/>
      <w:marLeft w:val="0"/>
      <w:marRight w:val="0"/>
      <w:marTop w:val="0"/>
      <w:marBottom w:val="0"/>
      <w:divBdr>
        <w:top w:val="none" w:sz="0" w:space="0" w:color="auto"/>
        <w:left w:val="none" w:sz="0" w:space="0" w:color="auto"/>
        <w:bottom w:val="none" w:sz="0" w:space="0" w:color="auto"/>
        <w:right w:val="none" w:sz="0" w:space="0" w:color="auto"/>
      </w:divBdr>
    </w:div>
    <w:div w:id="807625382">
      <w:bodyDiv w:val="1"/>
      <w:marLeft w:val="0"/>
      <w:marRight w:val="0"/>
      <w:marTop w:val="0"/>
      <w:marBottom w:val="0"/>
      <w:divBdr>
        <w:top w:val="none" w:sz="0" w:space="0" w:color="auto"/>
        <w:left w:val="none" w:sz="0" w:space="0" w:color="auto"/>
        <w:bottom w:val="none" w:sz="0" w:space="0" w:color="auto"/>
        <w:right w:val="none" w:sz="0" w:space="0" w:color="auto"/>
      </w:divBdr>
    </w:div>
    <w:div w:id="810945577">
      <w:bodyDiv w:val="1"/>
      <w:marLeft w:val="0"/>
      <w:marRight w:val="0"/>
      <w:marTop w:val="0"/>
      <w:marBottom w:val="0"/>
      <w:divBdr>
        <w:top w:val="none" w:sz="0" w:space="0" w:color="auto"/>
        <w:left w:val="none" w:sz="0" w:space="0" w:color="auto"/>
        <w:bottom w:val="none" w:sz="0" w:space="0" w:color="auto"/>
        <w:right w:val="none" w:sz="0" w:space="0" w:color="auto"/>
      </w:divBdr>
    </w:div>
    <w:div w:id="814446389">
      <w:bodyDiv w:val="1"/>
      <w:marLeft w:val="0"/>
      <w:marRight w:val="0"/>
      <w:marTop w:val="0"/>
      <w:marBottom w:val="0"/>
      <w:divBdr>
        <w:top w:val="none" w:sz="0" w:space="0" w:color="auto"/>
        <w:left w:val="none" w:sz="0" w:space="0" w:color="auto"/>
        <w:bottom w:val="none" w:sz="0" w:space="0" w:color="auto"/>
        <w:right w:val="none" w:sz="0" w:space="0" w:color="auto"/>
      </w:divBdr>
    </w:div>
    <w:div w:id="814562778">
      <w:bodyDiv w:val="1"/>
      <w:marLeft w:val="0"/>
      <w:marRight w:val="0"/>
      <w:marTop w:val="0"/>
      <w:marBottom w:val="0"/>
      <w:divBdr>
        <w:top w:val="none" w:sz="0" w:space="0" w:color="auto"/>
        <w:left w:val="none" w:sz="0" w:space="0" w:color="auto"/>
        <w:bottom w:val="none" w:sz="0" w:space="0" w:color="auto"/>
        <w:right w:val="none" w:sz="0" w:space="0" w:color="auto"/>
      </w:divBdr>
    </w:div>
    <w:div w:id="818309145">
      <w:bodyDiv w:val="1"/>
      <w:marLeft w:val="0"/>
      <w:marRight w:val="0"/>
      <w:marTop w:val="0"/>
      <w:marBottom w:val="0"/>
      <w:divBdr>
        <w:top w:val="none" w:sz="0" w:space="0" w:color="auto"/>
        <w:left w:val="none" w:sz="0" w:space="0" w:color="auto"/>
        <w:bottom w:val="none" w:sz="0" w:space="0" w:color="auto"/>
        <w:right w:val="none" w:sz="0" w:space="0" w:color="auto"/>
      </w:divBdr>
    </w:div>
    <w:div w:id="826437639">
      <w:bodyDiv w:val="1"/>
      <w:marLeft w:val="0"/>
      <w:marRight w:val="0"/>
      <w:marTop w:val="0"/>
      <w:marBottom w:val="0"/>
      <w:divBdr>
        <w:top w:val="none" w:sz="0" w:space="0" w:color="auto"/>
        <w:left w:val="none" w:sz="0" w:space="0" w:color="auto"/>
        <w:bottom w:val="none" w:sz="0" w:space="0" w:color="auto"/>
        <w:right w:val="none" w:sz="0" w:space="0" w:color="auto"/>
      </w:divBdr>
    </w:div>
    <w:div w:id="828715021">
      <w:bodyDiv w:val="1"/>
      <w:marLeft w:val="0"/>
      <w:marRight w:val="0"/>
      <w:marTop w:val="0"/>
      <w:marBottom w:val="0"/>
      <w:divBdr>
        <w:top w:val="none" w:sz="0" w:space="0" w:color="auto"/>
        <w:left w:val="none" w:sz="0" w:space="0" w:color="auto"/>
        <w:bottom w:val="none" w:sz="0" w:space="0" w:color="auto"/>
        <w:right w:val="none" w:sz="0" w:space="0" w:color="auto"/>
      </w:divBdr>
      <w:divsChild>
        <w:div w:id="1078550856">
          <w:marLeft w:val="0"/>
          <w:marRight w:val="0"/>
          <w:marTop w:val="0"/>
          <w:marBottom w:val="0"/>
          <w:divBdr>
            <w:top w:val="none" w:sz="0" w:space="0" w:color="auto"/>
            <w:left w:val="none" w:sz="0" w:space="0" w:color="auto"/>
            <w:bottom w:val="none" w:sz="0" w:space="0" w:color="auto"/>
            <w:right w:val="none" w:sz="0" w:space="0" w:color="auto"/>
          </w:divBdr>
          <w:divsChild>
            <w:div w:id="946422003">
              <w:marLeft w:val="0"/>
              <w:marRight w:val="0"/>
              <w:marTop w:val="1755"/>
              <w:marBottom w:val="0"/>
              <w:divBdr>
                <w:top w:val="none" w:sz="0" w:space="0" w:color="auto"/>
                <w:left w:val="none" w:sz="0" w:space="0" w:color="auto"/>
                <w:bottom w:val="none" w:sz="0" w:space="0" w:color="auto"/>
                <w:right w:val="none" w:sz="0" w:space="0" w:color="auto"/>
              </w:divBdr>
              <w:divsChild>
                <w:div w:id="2031687446">
                  <w:marLeft w:val="0"/>
                  <w:marRight w:val="0"/>
                  <w:marTop w:val="0"/>
                  <w:marBottom w:val="0"/>
                  <w:divBdr>
                    <w:top w:val="none" w:sz="0" w:space="0" w:color="auto"/>
                    <w:left w:val="none" w:sz="0" w:space="0" w:color="auto"/>
                    <w:bottom w:val="none" w:sz="0" w:space="0" w:color="auto"/>
                    <w:right w:val="none" w:sz="0" w:space="0" w:color="auto"/>
                  </w:divBdr>
                  <w:divsChild>
                    <w:div w:id="1350713895">
                      <w:marLeft w:val="0"/>
                      <w:marRight w:val="0"/>
                      <w:marTop w:val="0"/>
                      <w:marBottom w:val="0"/>
                      <w:divBdr>
                        <w:top w:val="none" w:sz="0" w:space="0" w:color="auto"/>
                        <w:left w:val="none" w:sz="0" w:space="0" w:color="auto"/>
                        <w:bottom w:val="none" w:sz="0" w:space="0" w:color="auto"/>
                        <w:right w:val="none" w:sz="0" w:space="0" w:color="auto"/>
                      </w:divBdr>
                      <w:divsChild>
                        <w:div w:id="68499869">
                          <w:marLeft w:val="0"/>
                          <w:marRight w:val="0"/>
                          <w:marTop w:val="150"/>
                          <w:marBottom w:val="0"/>
                          <w:divBdr>
                            <w:top w:val="none" w:sz="0" w:space="0" w:color="auto"/>
                            <w:left w:val="none" w:sz="0" w:space="0" w:color="auto"/>
                            <w:bottom w:val="none" w:sz="0" w:space="0" w:color="auto"/>
                            <w:right w:val="none" w:sz="0" w:space="0" w:color="auto"/>
                          </w:divBdr>
                          <w:divsChild>
                            <w:div w:id="205027046">
                              <w:marLeft w:val="0"/>
                              <w:marRight w:val="0"/>
                              <w:marTop w:val="0"/>
                              <w:marBottom w:val="0"/>
                              <w:divBdr>
                                <w:top w:val="none" w:sz="0" w:space="0" w:color="auto"/>
                                <w:left w:val="none" w:sz="0" w:space="0" w:color="auto"/>
                                <w:bottom w:val="none" w:sz="0" w:space="0" w:color="auto"/>
                                <w:right w:val="none" w:sz="0" w:space="0" w:color="auto"/>
                              </w:divBdr>
                              <w:divsChild>
                                <w:div w:id="1197235263">
                                  <w:marLeft w:val="0"/>
                                  <w:marRight w:val="0"/>
                                  <w:marTop w:val="0"/>
                                  <w:marBottom w:val="0"/>
                                  <w:divBdr>
                                    <w:top w:val="none" w:sz="0" w:space="0" w:color="auto"/>
                                    <w:left w:val="none" w:sz="0" w:space="0" w:color="auto"/>
                                    <w:bottom w:val="none" w:sz="0" w:space="0" w:color="auto"/>
                                    <w:right w:val="none" w:sz="0" w:space="0" w:color="auto"/>
                                  </w:divBdr>
                                  <w:divsChild>
                                    <w:div w:id="12939470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098082">
      <w:bodyDiv w:val="1"/>
      <w:marLeft w:val="0"/>
      <w:marRight w:val="0"/>
      <w:marTop w:val="0"/>
      <w:marBottom w:val="0"/>
      <w:divBdr>
        <w:top w:val="none" w:sz="0" w:space="0" w:color="auto"/>
        <w:left w:val="none" w:sz="0" w:space="0" w:color="auto"/>
        <w:bottom w:val="none" w:sz="0" w:space="0" w:color="auto"/>
        <w:right w:val="none" w:sz="0" w:space="0" w:color="auto"/>
      </w:divBdr>
    </w:div>
    <w:div w:id="830948503">
      <w:bodyDiv w:val="1"/>
      <w:marLeft w:val="0"/>
      <w:marRight w:val="0"/>
      <w:marTop w:val="0"/>
      <w:marBottom w:val="0"/>
      <w:divBdr>
        <w:top w:val="none" w:sz="0" w:space="0" w:color="auto"/>
        <w:left w:val="none" w:sz="0" w:space="0" w:color="auto"/>
        <w:bottom w:val="none" w:sz="0" w:space="0" w:color="auto"/>
        <w:right w:val="none" w:sz="0" w:space="0" w:color="auto"/>
      </w:divBdr>
    </w:div>
    <w:div w:id="834490825">
      <w:bodyDiv w:val="1"/>
      <w:marLeft w:val="0"/>
      <w:marRight w:val="0"/>
      <w:marTop w:val="0"/>
      <w:marBottom w:val="0"/>
      <w:divBdr>
        <w:top w:val="none" w:sz="0" w:space="0" w:color="auto"/>
        <w:left w:val="none" w:sz="0" w:space="0" w:color="auto"/>
        <w:bottom w:val="none" w:sz="0" w:space="0" w:color="auto"/>
        <w:right w:val="none" w:sz="0" w:space="0" w:color="auto"/>
      </w:divBdr>
    </w:div>
    <w:div w:id="835996246">
      <w:bodyDiv w:val="1"/>
      <w:marLeft w:val="0"/>
      <w:marRight w:val="0"/>
      <w:marTop w:val="0"/>
      <w:marBottom w:val="0"/>
      <w:divBdr>
        <w:top w:val="none" w:sz="0" w:space="0" w:color="auto"/>
        <w:left w:val="none" w:sz="0" w:space="0" w:color="auto"/>
        <w:bottom w:val="none" w:sz="0" w:space="0" w:color="auto"/>
        <w:right w:val="none" w:sz="0" w:space="0" w:color="auto"/>
      </w:divBdr>
    </w:div>
    <w:div w:id="837502828">
      <w:bodyDiv w:val="1"/>
      <w:marLeft w:val="0"/>
      <w:marRight w:val="0"/>
      <w:marTop w:val="0"/>
      <w:marBottom w:val="0"/>
      <w:divBdr>
        <w:top w:val="none" w:sz="0" w:space="0" w:color="auto"/>
        <w:left w:val="none" w:sz="0" w:space="0" w:color="auto"/>
        <w:bottom w:val="none" w:sz="0" w:space="0" w:color="auto"/>
        <w:right w:val="none" w:sz="0" w:space="0" w:color="auto"/>
      </w:divBdr>
    </w:div>
    <w:div w:id="840967089">
      <w:bodyDiv w:val="1"/>
      <w:marLeft w:val="0"/>
      <w:marRight w:val="0"/>
      <w:marTop w:val="0"/>
      <w:marBottom w:val="0"/>
      <w:divBdr>
        <w:top w:val="none" w:sz="0" w:space="0" w:color="auto"/>
        <w:left w:val="none" w:sz="0" w:space="0" w:color="auto"/>
        <w:bottom w:val="none" w:sz="0" w:space="0" w:color="auto"/>
        <w:right w:val="none" w:sz="0" w:space="0" w:color="auto"/>
      </w:divBdr>
    </w:div>
    <w:div w:id="842204637">
      <w:bodyDiv w:val="1"/>
      <w:marLeft w:val="0"/>
      <w:marRight w:val="0"/>
      <w:marTop w:val="0"/>
      <w:marBottom w:val="0"/>
      <w:divBdr>
        <w:top w:val="none" w:sz="0" w:space="0" w:color="auto"/>
        <w:left w:val="none" w:sz="0" w:space="0" w:color="auto"/>
        <w:bottom w:val="none" w:sz="0" w:space="0" w:color="auto"/>
        <w:right w:val="none" w:sz="0" w:space="0" w:color="auto"/>
      </w:divBdr>
    </w:div>
    <w:div w:id="844899184">
      <w:bodyDiv w:val="1"/>
      <w:marLeft w:val="0"/>
      <w:marRight w:val="0"/>
      <w:marTop w:val="0"/>
      <w:marBottom w:val="0"/>
      <w:divBdr>
        <w:top w:val="none" w:sz="0" w:space="0" w:color="auto"/>
        <w:left w:val="none" w:sz="0" w:space="0" w:color="auto"/>
        <w:bottom w:val="none" w:sz="0" w:space="0" w:color="auto"/>
        <w:right w:val="none" w:sz="0" w:space="0" w:color="auto"/>
      </w:divBdr>
    </w:div>
    <w:div w:id="851645330">
      <w:bodyDiv w:val="1"/>
      <w:marLeft w:val="0"/>
      <w:marRight w:val="0"/>
      <w:marTop w:val="0"/>
      <w:marBottom w:val="0"/>
      <w:divBdr>
        <w:top w:val="none" w:sz="0" w:space="0" w:color="auto"/>
        <w:left w:val="none" w:sz="0" w:space="0" w:color="auto"/>
        <w:bottom w:val="none" w:sz="0" w:space="0" w:color="auto"/>
        <w:right w:val="none" w:sz="0" w:space="0" w:color="auto"/>
      </w:divBdr>
    </w:div>
    <w:div w:id="852063640">
      <w:bodyDiv w:val="1"/>
      <w:marLeft w:val="0"/>
      <w:marRight w:val="0"/>
      <w:marTop w:val="0"/>
      <w:marBottom w:val="0"/>
      <w:divBdr>
        <w:top w:val="none" w:sz="0" w:space="0" w:color="auto"/>
        <w:left w:val="none" w:sz="0" w:space="0" w:color="auto"/>
        <w:bottom w:val="none" w:sz="0" w:space="0" w:color="auto"/>
        <w:right w:val="none" w:sz="0" w:space="0" w:color="auto"/>
      </w:divBdr>
    </w:div>
    <w:div w:id="855732711">
      <w:bodyDiv w:val="1"/>
      <w:marLeft w:val="0"/>
      <w:marRight w:val="0"/>
      <w:marTop w:val="0"/>
      <w:marBottom w:val="0"/>
      <w:divBdr>
        <w:top w:val="none" w:sz="0" w:space="0" w:color="auto"/>
        <w:left w:val="none" w:sz="0" w:space="0" w:color="auto"/>
        <w:bottom w:val="none" w:sz="0" w:space="0" w:color="auto"/>
        <w:right w:val="none" w:sz="0" w:space="0" w:color="auto"/>
      </w:divBdr>
    </w:div>
    <w:div w:id="860095900">
      <w:bodyDiv w:val="1"/>
      <w:marLeft w:val="0"/>
      <w:marRight w:val="0"/>
      <w:marTop w:val="0"/>
      <w:marBottom w:val="0"/>
      <w:divBdr>
        <w:top w:val="none" w:sz="0" w:space="0" w:color="auto"/>
        <w:left w:val="none" w:sz="0" w:space="0" w:color="auto"/>
        <w:bottom w:val="none" w:sz="0" w:space="0" w:color="auto"/>
        <w:right w:val="none" w:sz="0" w:space="0" w:color="auto"/>
      </w:divBdr>
    </w:div>
    <w:div w:id="869803368">
      <w:bodyDiv w:val="1"/>
      <w:marLeft w:val="0"/>
      <w:marRight w:val="0"/>
      <w:marTop w:val="0"/>
      <w:marBottom w:val="0"/>
      <w:divBdr>
        <w:top w:val="none" w:sz="0" w:space="0" w:color="auto"/>
        <w:left w:val="none" w:sz="0" w:space="0" w:color="auto"/>
        <w:bottom w:val="none" w:sz="0" w:space="0" w:color="auto"/>
        <w:right w:val="none" w:sz="0" w:space="0" w:color="auto"/>
      </w:divBdr>
    </w:div>
    <w:div w:id="879241753">
      <w:bodyDiv w:val="1"/>
      <w:marLeft w:val="0"/>
      <w:marRight w:val="0"/>
      <w:marTop w:val="0"/>
      <w:marBottom w:val="0"/>
      <w:divBdr>
        <w:top w:val="none" w:sz="0" w:space="0" w:color="auto"/>
        <w:left w:val="none" w:sz="0" w:space="0" w:color="auto"/>
        <w:bottom w:val="none" w:sz="0" w:space="0" w:color="auto"/>
        <w:right w:val="none" w:sz="0" w:space="0" w:color="auto"/>
      </w:divBdr>
    </w:div>
    <w:div w:id="880633113">
      <w:bodyDiv w:val="1"/>
      <w:marLeft w:val="0"/>
      <w:marRight w:val="0"/>
      <w:marTop w:val="0"/>
      <w:marBottom w:val="0"/>
      <w:divBdr>
        <w:top w:val="none" w:sz="0" w:space="0" w:color="auto"/>
        <w:left w:val="none" w:sz="0" w:space="0" w:color="auto"/>
        <w:bottom w:val="none" w:sz="0" w:space="0" w:color="auto"/>
        <w:right w:val="none" w:sz="0" w:space="0" w:color="auto"/>
      </w:divBdr>
    </w:div>
    <w:div w:id="881402751">
      <w:bodyDiv w:val="1"/>
      <w:marLeft w:val="0"/>
      <w:marRight w:val="0"/>
      <w:marTop w:val="0"/>
      <w:marBottom w:val="0"/>
      <w:divBdr>
        <w:top w:val="none" w:sz="0" w:space="0" w:color="auto"/>
        <w:left w:val="none" w:sz="0" w:space="0" w:color="auto"/>
        <w:bottom w:val="none" w:sz="0" w:space="0" w:color="auto"/>
        <w:right w:val="none" w:sz="0" w:space="0" w:color="auto"/>
      </w:divBdr>
    </w:div>
    <w:div w:id="883516624">
      <w:bodyDiv w:val="1"/>
      <w:marLeft w:val="0"/>
      <w:marRight w:val="0"/>
      <w:marTop w:val="0"/>
      <w:marBottom w:val="0"/>
      <w:divBdr>
        <w:top w:val="none" w:sz="0" w:space="0" w:color="auto"/>
        <w:left w:val="none" w:sz="0" w:space="0" w:color="auto"/>
        <w:bottom w:val="none" w:sz="0" w:space="0" w:color="auto"/>
        <w:right w:val="none" w:sz="0" w:space="0" w:color="auto"/>
      </w:divBdr>
    </w:div>
    <w:div w:id="885414858">
      <w:bodyDiv w:val="1"/>
      <w:marLeft w:val="0"/>
      <w:marRight w:val="0"/>
      <w:marTop w:val="0"/>
      <w:marBottom w:val="0"/>
      <w:divBdr>
        <w:top w:val="none" w:sz="0" w:space="0" w:color="auto"/>
        <w:left w:val="none" w:sz="0" w:space="0" w:color="auto"/>
        <w:bottom w:val="none" w:sz="0" w:space="0" w:color="auto"/>
        <w:right w:val="none" w:sz="0" w:space="0" w:color="auto"/>
      </w:divBdr>
    </w:div>
    <w:div w:id="888032664">
      <w:bodyDiv w:val="1"/>
      <w:marLeft w:val="0"/>
      <w:marRight w:val="0"/>
      <w:marTop w:val="0"/>
      <w:marBottom w:val="0"/>
      <w:divBdr>
        <w:top w:val="none" w:sz="0" w:space="0" w:color="auto"/>
        <w:left w:val="none" w:sz="0" w:space="0" w:color="auto"/>
        <w:bottom w:val="none" w:sz="0" w:space="0" w:color="auto"/>
        <w:right w:val="none" w:sz="0" w:space="0" w:color="auto"/>
      </w:divBdr>
    </w:div>
    <w:div w:id="893661028">
      <w:bodyDiv w:val="1"/>
      <w:marLeft w:val="0"/>
      <w:marRight w:val="0"/>
      <w:marTop w:val="0"/>
      <w:marBottom w:val="0"/>
      <w:divBdr>
        <w:top w:val="none" w:sz="0" w:space="0" w:color="auto"/>
        <w:left w:val="none" w:sz="0" w:space="0" w:color="auto"/>
        <w:bottom w:val="none" w:sz="0" w:space="0" w:color="auto"/>
        <w:right w:val="none" w:sz="0" w:space="0" w:color="auto"/>
      </w:divBdr>
    </w:div>
    <w:div w:id="895044949">
      <w:bodyDiv w:val="1"/>
      <w:marLeft w:val="0"/>
      <w:marRight w:val="0"/>
      <w:marTop w:val="0"/>
      <w:marBottom w:val="0"/>
      <w:divBdr>
        <w:top w:val="none" w:sz="0" w:space="0" w:color="auto"/>
        <w:left w:val="none" w:sz="0" w:space="0" w:color="auto"/>
        <w:bottom w:val="none" w:sz="0" w:space="0" w:color="auto"/>
        <w:right w:val="none" w:sz="0" w:space="0" w:color="auto"/>
      </w:divBdr>
    </w:div>
    <w:div w:id="896014170">
      <w:bodyDiv w:val="1"/>
      <w:marLeft w:val="0"/>
      <w:marRight w:val="0"/>
      <w:marTop w:val="0"/>
      <w:marBottom w:val="0"/>
      <w:divBdr>
        <w:top w:val="none" w:sz="0" w:space="0" w:color="auto"/>
        <w:left w:val="none" w:sz="0" w:space="0" w:color="auto"/>
        <w:bottom w:val="none" w:sz="0" w:space="0" w:color="auto"/>
        <w:right w:val="none" w:sz="0" w:space="0" w:color="auto"/>
      </w:divBdr>
    </w:div>
    <w:div w:id="898711158">
      <w:bodyDiv w:val="1"/>
      <w:marLeft w:val="0"/>
      <w:marRight w:val="0"/>
      <w:marTop w:val="0"/>
      <w:marBottom w:val="0"/>
      <w:divBdr>
        <w:top w:val="none" w:sz="0" w:space="0" w:color="auto"/>
        <w:left w:val="none" w:sz="0" w:space="0" w:color="auto"/>
        <w:bottom w:val="none" w:sz="0" w:space="0" w:color="auto"/>
        <w:right w:val="none" w:sz="0" w:space="0" w:color="auto"/>
      </w:divBdr>
    </w:div>
    <w:div w:id="900213649">
      <w:bodyDiv w:val="1"/>
      <w:marLeft w:val="0"/>
      <w:marRight w:val="0"/>
      <w:marTop w:val="0"/>
      <w:marBottom w:val="0"/>
      <w:divBdr>
        <w:top w:val="none" w:sz="0" w:space="0" w:color="auto"/>
        <w:left w:val="none" w:sz="0" w:space="0" w:color="auto"/>
        <w:bottom w:val="none" w:sz="0" w:space="0" w:color="auto"/>
        <w:right w:val="none" w:sz="0" w:space="0" w:color="auto"/>
      </w:divBdr>
    </w:div>
    <w:div w:id="901520468">
      <w:bodyDiv w:val="1"/>
      <w:marLeft w:val="0"/>
      <w:marRight w:val="0"/>
      <w:marTop w:val="0"/>
      <w:marBottom w:val="0"/>
      <w:divBdr>
        <w:top w:val="none" w:sz="0" w:space="0" w:color="auto"/>
        <w:left w:val="none" w:sz="0" w:space="0" w:color="auto"/>
        <w:bottom w:val="none" w:sz="0" w:space="0" w:color="auto"/>
        <w:right w:val="none" w:sz="0" w:space="0" w:color="auto"/>
      </w:divBdr>
    </w:div>
    <w:div w:id="902911738">
      <w:bodyDiv w:val="1"/>
      <w:marLeft w:val="0"/>
      <w:marRight w:val="0"/>
      <w:marTop w:val="0"/>
      <w:marBottom w:val="0"/>
      <w:divBdr>
        <w:top w:val="none" w:sz="0" w:space="0" w:color="auto"/>
        <w:left w:val="none" w:sz="0" w:space="0" w:color="auto"/>
        <w:bottom w:val="none" w:sz="0" w:space="0" w:color="auto"/>
        <w:right w:val="none" w:sz="0" w:space="0" w:color="auto"/>
      </w:divBdr>
    </w:div>
    <w:div w:id="905145149">
      <w:bodyDiv w:val="1"/>
      <w:marLeft w:val="0"/>
      <w:marRight w:val="0"/>
      <w:marTop w:val="0"/>
      <w:marBottom w:val="0"/>
      <w:divBdr>
        <w:top w:val="none" w:sz="0" w:space="0" w:color="auto"/>
        <w:left w:val="none" w:sz="0" w:space="0" w:color="auto"/>
        <w:bottom w:val="none" w:sz="0" w:space="0" w:color="auto"/>
        <w:right w:val="none" w:sz="0" w:space="0" w:color="auto"/>
      </w:divBdr>
    </w:div>
    <w:div w:id="905380805">
      <w:bodyDiv w:val="1"/>
      <w:marLeft w:val="0"/>
      <w:marRight w:val="0"/>
      <w:marTop w:val="0"/>
      <w:marBottom w:val="0"/>
      <w:divBdr>
        <w:top w:val="none" w:sz="0" w:space="0" w:color="auto"/>
        <w:left w:val="none" w:sz="0" w:space="0" w:color="auto"/>
        <w:bottom w:val="none" w:sz="0" w:space="0" w:color="auto"/>
        <w:right w:val="none" w:sz="0" w:space="0" w:color="auto"/>
      </w:divBdr>
    </w:div>
    <w:div w:id="909004880">
      <w:bodyDiv w:val="1"/>
      <w:marLeft w:val="0"/>
      <w:marRight w:val="0"/>
      <w:marTop w:val="0"/>
      <w:marBottom w:val="0"/>
      <w:divBdr>
        <w:top w:val="none" w:sz="0" w:space="0" w:color="auto"/>
        <w:left w:val="none" w:sz="0" w:space="0" w:color="auto"/>
        <w:bottom w:val="none" w:sz="0" w:space="0" w:color="auto"/>
        <w:right w:val="none" w:sz="0" w:space="0" w:color="auto"/>
      </w:divBdr>
    </w:div>
    <w:div w:id="925382737">
      <w:bodyDiv w:val="1"/>
      <w:marLeft w:val="0"/>
      <w:marRight w:val="0"/>
      <w:marTop w:val="0"/>
      <w:marBottom w:val="0"/>
      <w:divBdr>
        <w:top w:val="none" w:sz="0" w:space="0" w:color="auto"/>
        <w:left w:val="none" w:sz="0" w:space="0" w:color="auto"/>
        <w:bottom w:val="none" w:sz="0" w:space="0" w:color="auto"/>
        <w:right w:val="none" w:sz="0" w:space="0" w:color="auto"/>
      </w:divBdr>
    </w:div>
    <w:div w:id="925531817">
      <w:bodyDiv w:val="1"/>
      <w:marLeft w:val="0"/>
      <w:marRight w:val="0"/>
      <w:marTop w:val="0"/>
      <w:marBottom w:val="0"/>
      <w:divBdr>
        <w:top w:val="none" w:sz="0" w:space="0" w:color="auto"/>
        <w:left w:val="none" w:sz="0" w:space="0" w:color="auto"/>
        <w:bottom w:val="none" w:sz="0" w:space="0" w:color="auto"/>
        <w:right w:val="none" w:sz="0" w:space="0" w:color="auto"/>
      </w:divBdr>
    </w:div>
    <w:div w:id="928005235">
      <w:bodyDiv w:val="1"/>
      <w:marLeft w:val="0"/>
      <w:marRight w:val="0"/>
      <w:marTop w:val="0"/>
      <w:marBottom w:val="0"/>
      <w:divBdr>
        <w:top w:val="none" w:sz="0" w:space="0" w:color="auto"/>
        <w:left w:val="none" w:sz="0" w:space="0" w:color="auto"/>
        <w:bottom w:val="none" w:sz="0" w:space="0" w:color="auto"/>
        <w:right w:val="none" w:sz="0" w:space="0" w:color="auto"/>
      </w:divBdr>
    </w:div>
    <w:div w:id="928538623">
      <w:bodyDiv w:val="1"/>
      <w:marLeft w:val="0"/>
      <w:marRight w:val="0"/>
      <w:marTop w:val="0"/>
      <w:marBottom w:val="0"/>
      <w:divBdr>
        <w:top w:val="none" w:sz="0" w:space="0" w:color="auto"/>
        <w:left w:val="none" w:sz="0" w:space="0" w:color="auto"/>
        <w:bottom w:val="none" w:sz="0" w:space="0" w:color="auto"/>
        <w:right w:val="none" w:sz="0" w:space="0" w:color="auto"/>
      </w:divBdr>
    </w:div>
    <w:div w:id="928656737">
      <w:bodyDiv w:val="1"/>
      <w:marLeft w:val="0"/>
      <w:marRight w:val="0"/>
      <w:marTop w:val="0"/>
      <w:marBottom w:val="0"/>
      <w:divBdr>
        <w:top w:val="none" w:sz="0" w:space="0" w:color="auto"/>
        <w:left w:val="none" w:sz="0" w:space="0" w:color="auto"/>
        <w:bottom w:val="none" w:sz="0" w:space="0" w:color="auto"/>
        <w:right w:val="none" w:sz="0" w:space="0" w:color="auto"/>
      </w:divBdr>
    </w:div>
    <w:div w:id="931426563">
      <w:bodyDiv w:val="1"/>
      <w:marLeft w:val="0"/>
      <w:marRight w:val="0"/>
      <w:marTop w:val="0"/>
      <w:marBottom w:val="0"/>
      <w:divBdr>
        <w:top w:val="none" w:sz="0" w:space="0" w:color="auto"/>
        <w:left w:val="none" w:sz="0" w:space="0" w:color="auto"/>
        <w:bottom w:val="none" w:sz="0" w:space="0" w:color="auto"/>
        <w:right w:val="none" w:sz="0" w:space="0" w:color="auto"/>
      </w:divBdr>
    </w:div>
    <w:div w:id="932318573">
      <w:bodyDiv w:val="1"/>
      <w:marLeft w:val="0"/>
      <w:marRight w:val="0"/>
      <w:marTop w:val="0"/>
      <w:marBottom w:val="0"/>
      <w:divBdr>
        <w:top w:val="none" w:sz="0" w:space="0" w:color="auto"/>
        <w:left w:val="none" w:sz="0" w:space="0" w:color="auto"/>
        <w:bottom w:val="none" w:sz="0" w:space="0" w:color="auto"/>
        <w:right w:val="none" w:sz="0" w:space="0" w:color="auto"/>
      </w:divBdr>
    </w:div>
    <w:div w:id="937055472">
      <w:bodyDiv w:val="1"/>
      <w:marLeft w:val="0"/>
      <w:marRight w:val="0"/>
      <w:marTop w:val="0"/>
      <w:marBottom w:val="0"/>
      <w:divBdr>
        <w:top w:val="none" w:sz="0" w:space="0" w:color="auto"/>
        <w:left w:val="none" w:sz="0" w:space="0" w:color="auto"/>
        <w:bottom w:val="none" w:sz="0" w:space="0" w:color="auto"/>
        <w:right w:val="none" w:sz="0" w:space="0" w:color="auto"/>
      </w:divBdr>
    </w:div>
    <w:div w:id="937641541">
      <w:bodyDiv w:val="1"/>
      <w:marLeft w:val="0"/>
      <w:marRight w:val="0"/>
      <w:marTop w:val="0"/>
      <w:marBottom w:val="0"/>
      <w:divBdr>
        <w:top w:val="none" w:sz="0" w:space="0" w:color="auto"/>
        <w:left w:val="none" w:sz="0" w:space="0" w:color="auto"/>
        <w:bottom w:val="none" w:sz="0" w:space="0" w:color="auto"/>
        <w:right w:val="none" w:sz="0" w:space="0" w:color="auto"/>
      </w:divBdr>
    </w:div>
    <w:div w:id="951208550">
      <w:bodyDiv w:val="1"/>
      <w:marLeft w:val="0"/>
      <w:marRight w:val="0"/>
      <w:marTop w:val="0"/>
      <w:marBottom w:val="0"/>
      <w:divBdr>
        <w:top w:val="none" w:sz="0" w:space="0" w:color="auto"/>
        <w:left w:val="none" w:sz="0" w:space="0" w:color="auto"/>
        <w:bottom w:val="none" w:sz="0" w:space="0" w:color="auto"/>
        <w:right w:val="none" w:sz="0" w:space="0" w:color="auto"/>
      </w:divBdr>
    </w:div>
    <w:div w:id="968321239">
      <w:bodyDiv w:val="1"/>
      <w:marLeft w:val="0"/>
      <w:marRight w:val="0"/>
      <w:marTop w:val="0"/>
      <w:marBottom w:val="0"/>
      <w:divBdr>
        <w:top w:val="none" w:sz="0" w:space="0" w:color="auto"/>
        <w:left w:val="none" w:sz="0" w:space="0" w:color="auto"/>
        <w:bottom w:val="none" w:sz="0" w:space="0" w:color="auto"/>
        <w:right w:val="none" w:sz="0" w:space="0" w:color="auto"/>
      </w:divBdr>
    </w:div>
    <w:div w:id="976301906">
      <w:bodyDiv w:val="1"/>
      <w:marLeft w:val="0"/>
      <w:marRight w:val="0"/>
      <w:marTop w:val="0"/>
      <w:marBottom w:val="0"/>
      <w:divBdr>
        <w:top w:val="none" w:sz="0" w:space="0" w:color="auto"/>
        <w:left w:val="none" w:sz="0" w:space="0" w:color="auto"/>
        <w:bottom w:val="none" w:sz="0" w:space="0" w:color="auto"/>
        <w:right w:val="none" w:sz="0" w:space="0" w:color="auto"/>
      </w:divBdr>
    </w:div>
    <w:div w:id="982196345">
      <w:bodyDiv w:val="1"/>
      <w:marLeft w:val="0"/>
      <w:marRight w:val="0"/>
      <w:marTop w:val="0"/>
      <w:marBottom w:val="0"/>
      <w:divBdr>
        <w:top w:val="none" w:sz="0" w:space="0" w:color="auto"/>
        <w:left w:val="none" w:sz="0" w:space="0" w:color="auto"/>
        <w:bottom w:val="none" w:sz="0" w:space="0" w:color="auto"/>
        <w:right w:val="none" w:sz="0" w:space="0" w:color="auto"/>
      </w:divBdr>
    </w:div>
    <w:div w:id="990793876">
      <w:bodyDiv w:val="1"/>
      <w:marLeft w:val="0"/>
      <w:marRight w:val="0"/>
      <w:marTop w:val="0"/>
      <w:marBottom w:val="0"/>
      <w:divBdr>
        <w:top w:val="none" w:sz="0" w:space="0" w:color="auto"/>
        <w:left w:val="none" w:sz="0" w:space="0" w:color="auto"/>
        <w:bottom w:val="none" w:sz="0" w:space="0" w:color="auto"/>
        <w:right w:val="none" w:sz="0" w:space="0" w:color="auto"/>
      </w:divBdr>
    </w:div>
    <w:div w:id="991248944">
      <w:bodyDiv w:val="1"/>
      <w:marLeft w:val="0"/>
      <w:marRight w:val="0"/>
      <w:marTop w:val="0"/>
      <w:marBottom w:val="0"/>
      <w:divBdr>
        <w:top w:val="none" w:sz="0" w:space="0" w:color="auto"/>
        <w:left w:val="none" w:sz="0" w:space="0" w:color="auto"/>
        <w:bottom w:val="none" w:sz="0" w:space="0" w:color="auto"/>
        <w:right w:val="none" w:sz="0" w:space="0" w:color="auto"/>
      </w:divBdr>
    </w:div>
    <w:div w:id="1003315134">
      <w:bodyDiv w:val="1"/>
      <w:marLeft w:val="0"/>
      <w:marRight w:val="0"/>
      <w:marTop w:val="0"/>
      <w:marBottom w:val="0"/>
      <w:divBdr>
        <w:top w:val="none" w:sz="0" w:space="0" w:color="auto"/>
        <w:left w:val="none" w:sz="0" w:space="0" w:color="auto"/>
        <w:bottom w:val="none" w:sz="0" w:space="0" w:color="auto"/>
        <w:right w:val="none" w:sz="0" w:space="0" w:color="auto"/>
      </w:divBdr>
    </w:div>
    <w:div w:id="1011645732">
      <w:bodyDiv w:val="1"/>
      <w:marLeft w:val="0"/>
      <w:marRight w:val="0"/>
      <w:marTop w:val="0"/>
      <w:marBottom w:val="0"/>
      <w:divBdr>
        <w:top w:val="none" w:sz="0" w:space="0" w:color="auto"/>
        <w:left w:val="none" w:sz="0" w:space="0" w:color="auto"/>
        <w:bottom w:val="none" w:sz="0" w:space="0" w:color="auto"/>
        <w:right w:val="none" w:sz="0" w:space="0" w:color="auto"/>
      </w:divBdr>
    </w:div>
    <w:div w:id="1015154315">
      <w:bodyDiv w:val="1"/>
      <w:marLeft w:val="0"/>
      <w:marRight w:val="0"/>
      <w:marTop w:val="0"/>
      <w:marBottom w:val="0"/>
      <w:divBdr>
        <w:top w:val="none" w:sz="0" w:space="0" w:color="auto"/>
        <w:left w:val="none" w:sz="0" w:space="0" w:color="auto"/>
        <w:bottom w:val="none" w:sz="0" w:space="0" w:color="auto"/>
        <w:right w:val="none" w:sz="0" w:space="0" w:color="auto"/>
      </w:divBdr>
    </w:div>
    <w:div w:id="1018121867">
      <w:bodyDiv w:val="1"/>
      <w:marLeft w:val="0"/>
      <w:marRight w:val="0"/>
      <w:marTop w:val="0"/>
      <w:marBottom w:val="0"/>
      <w:divBdr>
        <w:top w:val="none" w:sz="0" w:space="0" w:color="auto"/>
        <w:left w:val="none" w:sz="0" w:space="0" w:color="auto"/>
        <w:bottom w:val="none" w:sz="0" w:space="0" w:color="auto"/>
        <w:right w:val="none" w:sz="0" w:space="0" w:color="auto"/>
      </w:divBdr>
    </w:div>
    <w:div w:id="1021198054">
      <w:bodyDiv w:val="1"/>
      <w:marLeft w:val="0"/>
      <w:marRight w:val="0"/>
      <w:marTop w:val="0"/>
      <w:marBottom w:val="0"/>
      <w:divBdr>
        <w:top w:val="none" w:sz="0" w:space="0" w:color="auto"/>
        <w:left w:val="none" w:sz="0" w:space="0" w:color="auto"/>
        <w:bottom w:val="none" w:sz="0" w:space="0" w:color="auto"/>
        <w:right w:val="none" w:sz="0" w:space="0" w:color="auto"/>
      </w:divBdr>
    </w:div>
    <w:div w:id="1023093709">
      <w:bodyDiv w:val="1"/>
      <w:marLeft w:val="0"/>
      <w:marRight w:val="0"/>
      <w:marTop w:val="0"/>
      <w:marBottom w:val="0"/>
      <w:divBdr>
        <w:top w:val="none" w:sz="0" w:space="0" w:color="auto"/>
        <w:left w:val="none" w:sz="0" w:space="0" w:color="auto"/>
        <w:bottom w:val="none" w:sz="0" w:space="0" w:color="auto"/>
        <w:right w:val="none" w:sz="0" w:space="0" w:color="auto"/>
      </w:divBdr>
    </w:div>
    <w:div w:id="1026638359">
      <w:bodyDiv w:val="1"/>
      <w:marLeft w:val="0"/>
      <w:marRight w:val="0"/>
      <w:marTop w:val="0"/>
      <w:marBottom w:val="0"/>
      <w:divBdr>
        <w:top w:val="none" w:sz="0" w:space="0" w:color="auto"/>
        <w:left w:val="none" w:sz="0" w:space="0" w:color="auto"/>
        <w:bottom w:val="none" w:sz="0" w:space="0" w:color="auto"/>
        <w:right w:val="none" w:sz="0" w:space="0" w:color="auto"/>
      </w:divBdr>
    </w:div>
    <w:div w:id="1035617475">
      <w:bodyDiv w:val="1"/>
      <w:marLeft w:val="0"/>
      <w:marRight w:val="0"/>
      <w:marTop w:val="0"/>
      <w:marBottom w:val="0"/>
      <w:divBdr>
        <w:top w:val="none" w:sz="0" w:space="0" w:color="auto"/>
        <w:left w:val="none" w:sz="0" w:space="0" w:color="auto"/>
        <w:bottom w:val="none" w:sz="0" w:space="0" w:color="auto"/>
        <w:right w:val="none" w:sz="0" w:space="0" w:color="auto"/>
      </w:divBdr>
    </w:div>
    <w:div w:id="1039014414">
      <w:bodyDiv w:val="1"/>
      <w:marLeft w:val="0"/>
      <w:marRight w:val="0"/>
      <w:marTop w:val="0"/>
      <w:marBottom w:val="0"/>
      <w:divBdr>
        <w:top w:val="none" w:sz="0" w:space="0" w:color="auto"/>
        <w:left w:val="none" w:sz="0" w:space="0" w:color="auto"/>
        <w:bottom w:val="none" w:sz="0" w:space="0" w:color="auto"/>
        <w:right w:val="none" w:sz="0" w:space="0" w:color="auto"/>
      </w:divBdr>
    </w:div>
    <w:div w:id="1042244055">
      <w:bodyDiv w:val="1"/>
      <w:marLeft w:val="0"/>
      <w:marRight w:val="0"/>
      <w:marTop w:val="0"/>
      <w:marBottom w:val="0"/>
      <w:divBdr>
        <w:top w:val="none" w:sz="0" w:space="0" w:color="auto"/>
        <w:left w:val="none" w:sz="0" w:space="0" w:color="auto"/>
        <w:bottom w:val="none" w:sz="0" w:space="0" w:color="auto"/>
        <w:right w:val="none" w:sz="0" w:space="0" w:color="auto"/>
      </w:divBdr>
    </w:div>
    <w:div w:id="1063059689">
      <w:bodyDiv w:val="1"/>
      <w:marLeft w:val="0"/>
      <w:marRight w:val="0"/>
      <w:marTop w:val="0"/>
      <w:marBottom w:val="0"/>
      <w:divBdr>
        <w:top w:val="none" w:sz="0" w:space="0" w:color="auto"/>
        <w:left w:val="none" w:sz="0" w:space="0" w:color="auto"/>
        <w:bottom w:val="none" w:sz="0" w:space="0" w:color="auto"/>
        <w:right w:val="none" w:sz="0" w:space="0" w:color="auto"/>
      </w:divBdr>
    </w:div>
    <w:div w:id="1064596589">
      <w:bodyDiv w:val="1"/>
      <w:marLeft w:val="0"/>
      <w:marRight w:val="0"/>
      <w:marTop w:val="0"/>
      <w:marBottom w:val="0"/>
      <w:divBdr>
        <w:top w:val="none" w:sz="0" w:space="0" w:color="auto"/>
        <w:left w:val="none" w:sz="0" w:space="0" w:color="auto"/>
        <w:bottom w:val="none" w:sz="0" w:space="0" w:color="auto"/>
        <w:right w:val="none" w:sz="0" w:space="0" w:color="auto"/>
      </w:divBdr>
    </w:div>
    <w:div w:id="1067530093">
      <w:bodyDiv w:val="1"/>
      <w:marLeft w:val="0"/>
      <w:marRight w:val="0"/>
      <w:marTop w:val="0"/>
      <w:marBottom w:val="0"/>
      <w:divBdr>
        <w:top w:val="none" w:sz="0" w:space="0" w:color="auto"/>
        <w:left w:val="none" w:sz="0" w:space="0" w:color="auto"/>
        <w:bottom w:val="none" w:sz="0" w:space="0" w:color="auto"/>
        <w:right w:val="none" w:sz="0" w:space="0" w:color="auto"/>
      </w:divBdr>
    </w:div>
    <w:div w:id="1075661177">
      <w:bodyDiv w:val="1"/>
      <w:marLeft w:val="0"/>
      <w:marRight w:val="0"/>
      <w:marTop w:val="0"/>
      <w:marBottom w:val="0"/>
      <w:divBdr>
        <w:top w:val="none" w:sz="0" w:space="0" w:color="auto"/>
        <w:left w:val="none" w:sz="0" w:space="0" w:color="auto"/>
        <w:bottom w:val="none" w:sz="0" w:space="0" w:color="auto"/>
        <w:right w:val="none" w:sz="0" w:space="0" w:color="auto"/>
      </w:divBdr>
    </w:div>
    <w:div w:id="1077170127">
      <w:bodyDiv w:val="1"/>
      <w:marLeft w:val="0"/>
      <w:marRight w:val="0"/>
      <w:marTop w:val="0"/>
      <w:marBottom w:val="0"/>
      <w:divBdr>
        <w:top w:val="none" w:sz="0" w:space="0" w:color="auto"/>
        <w:left w:val="none" w:sz="0" w:space="0" w:color="auto"/>
        <w:bottom w:val="none" w:sz="0" w:space="0" w:color="auto"/>
        <w:right w:val="none" w:sz="0" w:space="0" w:color="auto"/>
      </w:divBdr>
    </w:div>
    <w:div w:id="1092433153">
      <w:bodyDiv w:val="1"/>
      <w:marLeft w:val="0"/>
      <w:marRight w:val="0"/>
      <w:marTop w:val="0"/>
      <w:marBottom w:val="0"/>
      <w:divBdr>
        <w:top w:val="none" w:sz="0" w:space="0" w:color="auto"/>
        <w:left w:val="none" w:sz="0" w:space="0" w:color="auto"/>
        <w:bottom w:val="none" w:sz="0" w:space="0" w:color="auto"/>
        <w:right w:val="none" w:sz="0" w:space="0" w:color="auto"/>
      </w:divBdr>
    </w:div>
    <w:div w:id="1103574574">
      <w:bodyDiv w:val="1"/>
      <w:marLeft w:val="0"/>
      <w:marRight w:val="0"/>
      <w:marTop w:val="0"/>
      <w:marBottom w:val="0"/>
      <w:divBdr>
        <w:top w:val="none" w:sz="0" w:space="0" w:color="auto"/>
        <w:left w:val="none" w:sz="0" w:space="0" w:color="auto"/>
        <w:bottom w:val="none" w:sz="0" w:space="0" w:color="auto"/>
        <w:right w:val="none" w:sz="0" w:space="0" w:color="auto"/>
      </w:divBdr>
    </w:div>
    <w:div w:id="1104879784">
      <w:bodyDiv w:val="1"/>
      <w:marLeft w:val="0"/>
      <w:marRight w:val="0"/>
      <w:marTop w:val="0"/>
      <w:marBottom w:val="0"/>
      <w:divBdr>
        <w:top w:val="none" w:sz="0" w:space="0" w:color="auto"/>
        <w:left w:val="none" w:sz="0" w:space="0" w:color="auto"/>
        <w:bottom w:val="none" w:sz="0" w:space="0" w:color="auto"/>
        <w:right w:val="none" w:sz="0" w:space="0" w:color="auto"/>
      </w:divBdr>
    </w:div>
    <w:div w:id="1108543911">
      <w:bodyDiv w:val="1"/>
      <w:marLeft w:val="0"/>
      <w:marRight w:val="0"/>
      <w:marTop w:val="0"/>
      <w:marBottom w:val="0"/>
      <w:divBdr>
        <w:top w:val="none" w:sz="0" w:space="0" w:color="auto"/>
        <w:left w:val="none" w:sz="0" w:space="0" w:color="auto"/>
        <w:bottom w:val="none" w:sz="0" w:space="0" w:color="auto"/>
        <w:right w:val="none" w:sz="0" w:space="0" w:color="auto"/>
      </w:divBdr>
    </w:div>
    <w:div w:id="1108816295">
      <w:bodyDiv w:val="1"/>
      <w:marLeft w:val="0"/>
      <w:marRight w:val="0"/>
      <w:marTop w:val="0"/>
      <w:marBottom w:val="0"/>
      <w:divBdr>
        <w:top w:val="none" w:sz="0" w:space="0" w:color="auto"/>
        <w:left w:val="none" w:sz="0" w:space="0" w:color="auto"/>
        <w:bottom w:val="none" w:sz="0" w:space="0" w:color="auto"/>
        <w:right w:val="none" w:sz="0" w:space="0" w:color="auto"/>
      </w:divBdr>
    </w:div>
    <w:div w:id="1109590713">
      <w:bodyDiv w:val="1"/>
      <w:marLeft w:val="0"/>
      <w:marRight w:val="0"/>
      <w:marTop w:val="0"/>
      <w:marBottom w:val="0"/>
      <w:divBdr>
        <w:top w:val="none" w:sz="0" w:space="0" w:color="auto"/>
        <w:left w:val="none" w:sz="0" w:space="0" w:color="auto"/>
        <w:bottom w:val="none" w:sz="0" w:space="0" w:color="auto"/>
        <w:right w:val="none" w:sz="0" w:space="0" w:color="auto"/>
      </w:divBdr>
    </w:div>
    <w:div w:id="1112748034">
      <w:bodyDiv w:val="1"/>
      <w:marLeft w:val="0"/>
      <w:marRight w:val="0"/>
      <w:marTop w:val="0"/>
      <w:marBottom w:val="0"/>
      <w:divBdr>
        <w:top w:val="none" w:sz="0" w:space="0" w:color="auto"/>
        <w:left w:val="none" w:sz="0" w:space="0" w:color="auto"/>
        <w:bottom w:val="none" w:sz="0" w:space="0" w:color="auto"/>
        <w:right w:val="none" w:sz="0" w:space="0" w:color="auto"/>
      </w:divBdr>
    </w:div>
    <w:div w:id="1114251663">
      <w:bodyDiv w:val="1"/>
      <w:marLeft w:val="0"/>
      <w:marRight w:val="0"/>
      <w:marTop w:val="0"/>
      <w:marBottom w:val="0"/>
      <w:divBdr>
        <w:top w:val="none" w:sz="0" w:space="0" w:color="auto"/>
        <w:left w:val="none" w:sz="0" w:space="0" w:color="auto"/>
        <w:bottom w:val="none" w:sz="0" w:space="0" w:color="auto"/>
        <w:right w:val="none" w:sz="0" w:space="0" w:color="auto"/>
      </w:divBdr>
    </w:div>
    <w:div w:id="1114521633">
      <w:bodyDiv w:val="1"/>
      <w:marLeft w:val="0"/>
      <w:marRight w:val="0"/>
      <w:marTop w:val="0"/>
      <w:marBottom w:val="0"/>
      <w:divBdr>
        <w:top w:val="none" w:sz="0" w:space="0" w:color="auto"/>
        <w:left w:val="none" w:sz="0" w:space="0" w:color="auto"/>
        <w:bottom w:val="none" w:sz="0" w:space="0" w:color="auto"/>
        <w:right w:val="none" w:sz="0" w:space="0" w:color="auto"/>
      </w:divBdr>
    </w:div>
    <w:div w:id="1115296010">
      <w:bodyDiv w:val="1"/>
      <w:marLeft w:val="0"/>
      <w:marRight w:val="0"/>
      <w:marTop w:val="0"/>
      <w:marBottom w:val="0"/>
      <w:divBdr>
        <w:top w:val="none" w:sz="0" w:space="0" w:color="auto"/>
        <w:left w:val="none" w:sz="0" w:space="0" w:color="auto"/>
        <w:bottom w:val="none" w:sz="0" w:space="0" w:color="auto"/>
        <w:right w:val="none" w:sz="0" w:space="0" w:color="auto"/>
      </w:divBdr>
    </w:div>
    <w:div w:id="1115979015">
      <w:bodyDiv w:val="1"/>
      <w:marLeft w:val="0"/>
      <w:marRight w:val="0"/>
      <w:marTop w:val="0"/>
      <w:marBottom w:val="0"/>
      <w:divBdr>
        <w:top w:val="none" w:sz="0" w:space="0" w:color="auto"/>
        <w:left w:val="none" w:sz="0" w:space="0" w:color="auto"/>
        <w:bottom w:val="none" w:sz="0" w:space="0" w:color="auto"/>
        <w:right w:val="none" w:sz="0" w:space="0" w:color="auto"/>
      </w:divBdr>
    </w:div>
    <w:div w:id="1119959674">
      <w:bodyDiv w:val="1"/>
      <w:marLeft w:val="0"/>
      <w:marRight w:val="0"/>
      <w:marTop w:val="0"/>
      <w:marBottom w:val="0"/>
      <w:divBdr>
        <w:top w:val="none" w:sz="0" w:space="0" w:color="auto"/>
        <w:left w:val="none" w:sz="0" w:space="0" w:color="auto"/>
        <w:bottom w:val="none" w:sz="0" w:space="0" w:color="auto"/>
        <w:right w:val="none" w:sz="0" w:space="0" w:color="auto"/>
      </w:divBdr>
    </w:div>
    <w:div w:id="1123377700">
      <w:bodyDiv w:val="1"/>
      <w:marLeft w:val="0"/>
      <w:marRight w:val="0"/>
      <w:marTop w:val="0"/>
      <w:marBottom w:val="0"/>
      <w:divBdr>
        <w:top w:val="none" w:sz="0" w:space="0" w:color="auto"/>
        <w:left w:val="none" w:sz="0" w:space="0" w:color="auto"/>
        <w:bottom w:val="none" w:sz="0" w:space="0" w:color="auto"/>
        <w:right w:val="none" w:sz="0" w:space="0" w:color="auto"/>
      </w:divBdr>
    </w:div>
    <w:div w:id="1125273417">
      <w:bodyDiv w:val="1"/>
      <w:marLeft w:val="0"/>
      <w:marRight w:val="0"/>
      <w:marTop w:val="0"/>
      <w:marBottom w:val="0"/>
      <w:divBdr>
        <w:top w:val="none" w:sz="0" w:space="0" w:color="auto"/>
        <w:left w:val="none" w:sz="0" w:space="0" w:color="auto"/>
        <w:bottom w:val="none" w:sz="0" w:space="0" w:color="auto"/>
        <w:right w:val="none" w:sz="0" w:space="0" w:color="auto"/>
      </w:divBdr>
    </w:div>
    <w:div w:id="1127158550">
      <w:bodyDiv w:val="1"/>
      <w:marLeft w:val="0"/>
      <w:marRight w:val="0"/>
      <w:marTop w:val="0"/>
      <w:marBottom w:val="0"/>
      <w:divBdr>
        <w:top w:val="none" w:sz="0" w:space="0" w:color="auto"/>
        <w:left w:val="none" w:sz="0" w:space="0" w:color="auto"/>
        <w:bottom w:val="none" w:sz="0" w:space="0" w:color="auto"/>
        <w:right w:val="none" w:sz="0" w:space="0" w:color="auto"/>
      </w:divBdr>
    </w:div>
    <w:div w:id="1131753160">
      <w:bodyDiv w:val="1"/>
      <w:marLeft w:val="0"/>
      <w:marRight w:val="0"/>
      <w:marTop w:val="0"/>
      <w:marBottom w:val="0"/>
      <w:divBdr>
        <w:top w:val="none" w:sz="0" w:space="0" w:color="auto"/>
        <w:left w:val="none" w:sz="0" w:space="0" w:color="auto"/>
        <w:bottom w:val="none" w:sz="0" w:space="0" w:color="auto"/>
        <w:right w:val="none" w:sz="0" w:space="0" w:color="auto"/>
      </w:divBdr>
    </w:div>
    <w:div w:id="1133445682">
      <w:bodyDiv w:val="1"/>
      <w:marLeft w:val="0"/>
      <w:marRight w:val="0"/>
      <w:marTop w:val="0"/>
      <w:marBottom w:val="0"/>
      <w:divBdr>
        <w:top w:val="none" w:sz="0" w:space="0" w:color="auto"/>
        <w:left w:val="none" w:sz="0" w:space="0" w:color="auto"/>
        <w:bottom w:val="none" w:sz="0" w:space="0" w:color="auto"/>
        <w:right w:val="none" w:sz="0" w:space="0" w:color="auto"/>
      </w:divBdr>
    </w:div>
    <w:div w:id="1136214986">
      <w:bodyDiv w:val="1"/>
      <w:marLeft w:val="0"/>
      <w:marRight w:val="0"/>
      <w:marTop w:val="0"/>
      <w:marBottom w:val="0"/>
      <w:divBdr>
        <w:top w:val="none" w:sz="0" w:space="0" w:color="auto"/>
        <w:left w:val="none" w:sz="0" w:space="0" w:color="auto"/>
        <w:bottom w:val="none" w:sz="0" w:space="0" w:color="auto"/>
        <w:right w:val="none" w:sz="0" w:space="0" w:color="auto"/>
      </w:divBdr>
    </w:div>
    <w:div w:id="1141187489">
      <w:bodyDiv w:val="1"/>
      <w:marLeft w:val="0"/>
      <w:marRight w:val="0"/>
      <w:marTop w:val="0"/>
      <w:marBottom w:val="0"/>
      <w:divBdr>
        <w:top w:val="none" w:sz="0" w:space="0" w:color="auto"/>
        <w:left w:val="none" w:sz="0" w:space="0" w:color="auto"/>
        <w:bottom w:val="none" w:sz="0" w:space="0" w:color="auto"/>
        <w:right w:val="none" w:sz="0" w:space="0" w:color="auto"/>
      </w:divBdr>
    </w:div>
    <w:div w:id="1148400838">
      <w:bodyDiv w:val="1"/>
      <w:marLeft w:val="0"/>
      <w:marRight w:val="0"/>
      <w:marTop w:val="0"/>
      <w:marBottom w:val="0"/>
      <w:divBdr>
        <w:top w:val="none" w:sz="0" w:space="0" w:color="auto"/>
        <w:left w:val="none" w:sz="0" w:space="0" w:color="auto"/>
        <w:bottom w:val="none" w:sz="0" w:space="0" w:color="auto"/>
        <w:right w:val="none" w:sz="0" w:space="0" w:color="auto"/>
      </w:divBdr>
    </w:div>
    <w:div w:id="1150756468">
      <w:bodyDiv w:val="1"/>
      <w:marLeft w:val="0"/>
      <w:marRight w:val="0"/>
      <w:marTop w:val="0"/>
      <w:marBottom w:val="0"/>
      <w:divBdr>
        <w:top w:val="none" w:sz="0" w:space="0" w:color="auto"/>
        <w:left w:val="none" w:sz="0" w:space="0" w:color="auto"/>
        <w:bottom w:val="none" w:sz="0" w:space="0" w:color="auto"/>
        <w:right w:val="none" w:sz="0" w:space="0" w:color="auto"/>
      </w:divBdr>
    </w:div>
    <w:div w:id="1158034602">
      <w:bodyDiv w:val="1"/>
      <w:marLeft w:val="0"/>
      <w:marRight w:val="0"/>
      <w:marTop w:val="0"/>
      <w:marBottom w:val="0"/>
      <w:divBdr>
        <w:top w:val="none" w:sz="0" w:space="0" w:color="auto"/>
        <w:left w:val="none" w:sz="0" w:space="0" w:color="auto"/>
        <w:bottom w:val="none" w:sz="0" w:space="0" w:color="auto"/>
        <w:right w:val="none" w:sz="0" w:space="0" w:color="auto"/>
      </w:divBdr>
    </w:div>
    <w:div w:id="1164738103">
      <w:bodyDiv w:val="1"/>
      <w:marLeft w:val="0"/>
      <w:marRight w:val="0"/>
      <w:marTop w:val="0"/>
      <w:marBottom w:val="0"/>
      <w:divBdr>
        <w:top w:val="none" w:sz="0" w:space="0" w:color="auto"/>
        <w:left w:val="none" w:sz="0" w:space="0" w:color="auto"/>
        <w:bottom w:val="none" w:sz="0" w:space="0" w:color="auto"/>
        <w:right w:val="none" w:sz="0" w:space="0" w:color="auto"/>
      </w:divBdr>
    </w:div>
    <w:div w:id="1168131807">
      <w:bodyDiv w:val="1"/>
      <w:marLeft w:val="0"/>
      <w:marRight w:val="0"/>
      <w:marTop w:val="0"/>
      <w:marBottom w:val="0"/>
      <w:divBdr>
        <w:top w:val="none" w:sz="0" w:space="0" w:color="auto"/>
        <w:left w:val="none" w:sz="0" w:space="0" w:color="auto"/>
        <w:bottom w:val="none" w:sz="0" w:space="0" w:color="auto"/>
        <w:right w:val="none" w:sz="0" w:space="0" w:color="auto"/>
      </w:divBdr>
    </w:div>
    <w:div w:id="1173489114">
      <w:bodyDiv w:val="1"/>
      <w:marLeft w:val="0"/>
      <w:marRight w:val="0"/>
      <w:marTop w:val="0"/>
      <w:marBottom w:val="0"/>
      <w:divBdr>
        <w:top w:val="none" w:sz="0" w:space="0" w:color="auto"/>
        <w:left w:val="none" w:sz="0" w:space="0" w:color="auto"/>
        <w:bottom w:val="none" w:sz="0" w:space="0" w:color="auto"/>
        <w:right w:val="none" w:sz="0" w:space="0" w:color="auto"/>
      </w:divBdr>
    </w:div>
    <w:div w:id="1178694023">
      <w:bodyDiv w:val="1"/>
      <w:marLeft w:val="0"/>
      <w:marRight w:val="0"/>
      <w:marTop w:val="0"/>
      <w:marBottom w:val="0"/>
      <w:divBdr>
        <w:top w:val="none" w:sz="0" w:space="0" w:color="auto"/>
        <w:left w:val="none" w:sz="0" w:space="0" w:color="auto"/>
        <w:bottom w:val="none" w:sz="0" w:space="0" w:color="auto"/>
        <w:right w:val="none" w:sz="0" w:space="0" w:color="auto"/>
      </w:divBdr>
    </w:div>
    <w:div w:id="1185360342">
      <w:bodyDiv w:val="1"/>
      <w:marLeft w:val="0"/>
      <w:marRight w:val="0"/>
      <w:marTop w:val="0"/>
      <w:marBottom w:val="0"/>
      <w:divBdr>
        <w:top w:val="none" w:sz="0" w:space="0" w:color="auto"/>
        <w:left w:val="none" w:sz="0" w:space="0" w:color="auto"/>
        <w:bottom w:val="none" w:sz="0" w:space="0" w:color="auto"/>
        <w:right w:val="none" w:sz="0" w:space="0" w:color="auto"/>
      </w:divBdr>
    </w:div>
    <w:div w:id="1187595786">
      <w:bodyDiv w:val="1"/>
      <w:marLeft w:val="0"/>
      <w:marRight w:val="0"/>
      <w:marTop w:val="0"/>
      <w:marBottom w:val="0"/>
      <w:divBdr>
        <w:top w:val="none" w:sz="0" w:space="0" w:color="auto"/>
        <w:left w:val="none" w:sz="0" w:space="0" w:color="auto"/>
        <w:bottom w:val="none" w:sz="0" w:space="0" w:color="auto"/>
        <w:right w:val="none" w:sz="0" w:space="0" w:color="auto"/>
      </w:divBdr>
    </w:div>
    <w:div w:id="1192189557">
      <w:bodyDiv w:val="1"/>
      <w:marLeft w:val="0"/>
      <w:marRight w:val="0"/>
      <w:marTop w:val="0"/>
      <w:marBottom w:val="0"/>
      <w:divBdr>
        <w:top w:val="none" w:sz="0" w:space="0" w:color="auto"/>
        <w:left w:val="none" w:sz="0" w:space="0" w:color="auto"/>
        <w:bottom w:val="none" w:sz="0" w:space="0" w:color="auto"/>
        <w:right w:val="none" w:sz="0" w:space="0" w:color="auto"/>
      </w:divBdr>
    </w:div>
    <w:div w:id="1194919752">
      <w:bodyDiv w:val="1"/>
      <w:marLeft w:val="0"/>
      <w:marRight w:val="0"/>
      <w:marTop w:val="0"/>
      <w:marBottom w:val="0"/>
      <w:divBdr>
        <w:top w:val="none" w:sz="0" w:space="0" w:color="auto"/>
        <w:left w:val="none" w:sz="0" w:space="0" w:color="auto"/>
        <w:bottom w:val="none" w:sz="0" w:space="0" w:color="auto"/>
        <w:right w:val="none" w:sz="0" w:space="0" w:color="auto"/>
      </w:divBdr>
    </w:div>
    <w:div w:id="1195265630">
      <w:bodyDiv w:val="1"/>
      <w:marLeft w:val="0"/>
      <w:marRight w:val="0"/>
      <w:marTop w:val="0"/>
      <w:marBottom w:val="0"/>
      <w:divBdr>
        <w:top w:val="none" w:sz="0" w:space="0" w:color="auto"/>
        <w:left w:val="none" w:sz="0" w:space="0" w:color="auto"/>
        <w:bottom w:val="none" w:sz="0" w:space="0" w:color="auto"/>
        <w:right w:val="none" w:sz="0" w:space="0" w:color="auto"/>
      </w:divBdr>
    </w:div>
    <w:div w:id="1198204065">
      <w:bodyDiv w:val="1"/>
      <w:marLeft w:val="0"/>
      <w:marRight w:val="0"/>
      <w:marTop w:val="0"/>
      <w:marBottom w:val="0"/>
      <w:divBdr>
        <w:top w:val="none" w:sz="0" w:space="0" w:color="auto"/>
        <w:left w:val="none" w:sz="0" w:space="0" w:color="auto"/>
        <w:bottom w:val="none" w:sz="0" w:space="0" w:color="auto"/>
        <w:right w:val="none" w:sz="0" w:space="0" w:color="auto"/>
      </w:divBdr>
    </w:div>
    <w:div w:id="1198742080">
      <w:bodyDiv w:val="1"/>
      <w:marLeft w:val="0"/>
      <w:marRight w:val="0"/>
      <w:marTop w:val="0"/>
      <w:marBottom w:val="0"/>
      <w:divBdr>
        <w:top w:val="none" w:sz="0" w:space="0" w:color="auto"/>
        <w:left w:val="none" w:sz="0" w:space="0" w:color="auto"/>
        <w:bottom w:val="none" w:sz="0" w:space="0" w:color="auto"/>
        <w:right w:val="none" w:sz="0" w:space="0" w:color="auto"/>
      </w:divBdr>
    </w:div>
    <w:div w:id="1199009341">
      <w:bodyDiv w:val="1"/>
      <w:marLeft w:val="0"/>
      <w:marRight w:val="0"/>
      <w:marTop w:val="0"/>
      <w:marBottom w:val="0"/>
      <w:divBdr>
        <w:top w:val="none" w:sz="0" w:space="0" w:color="auto"/>
        <w:left w:val="none" w:sz="0" w:space="0" w:color="auto"/>
        <w:bottom w:val="none" w:sz="0" w:space="0" w:color="auto"/>
        <w:right w:val="none" w:sz="0" w:space="0" w:color="auto"/>
      </w:divBdr>
    </w:div>
    <w:div w:id="1201093987">
      <w:bodyDiv w:val="1"/>
      <w:marLeft w:val="0"/>
      <w:marRight w:val="0"/>
      <w:marTop w:val="0"/>
      <w:marBottom w:val="0"/>
      <w:divBdr>
        <w:top w:val="none" w:sz="0" w:space="0" w:color="auto"/>
        <w:left w:val="none" w:sz="0" w:space="0" w:color="auto"/>
        <w:bottom w:val="none" w:sz="0" w:space="0" w:color="auto"/>
        <w:right w:val="none" w:sz="0" w:space="0" w:color="auto"/>
      </w:divBdr>
    </w:div>
    <w:div w:id="1213231103">
      <w:bodyDiv w:val="1"/>
      <w:marLeft w:val="0"/>
      <w:marRight w:val="0"/>
      <w:marTop w:val="0"/>
      <w:marBottom w:val="0"/>
      <w:divBdr>
        <w:top w:val="none" w:sz="0" w:space="0" w:color="auto"/>
        <w:left w:val="none" w:sz="0" w:space="0" w:color="auto"/>
        <w:bottom w:val="none" w:sz="0" w:space="0" w:color="auto"/>
        <w:right w:val="none" w:sz="0" w:space="0" w:color="auto"/>
      </w:divBdr>
    </w:div>
    <w:div w:id="1214578947">
      <w:bodyDiv w:val="1"/>
      <w:marLeft w:val="0"/>
      <w:marRight w:val="0"/>
      <w:marTop w:val="0"/>
      <w:marBottom w:val="0"/>
      <w:divBdr>
        <w:top w:val="none" w:sz="0" w:space="0" w:color="auto"/>
        <w:left w:val="none" w:sz="0" w:space="0" w:color="auto"/>
        <w:bottom w:val="none" w:sz="0" w:space="0" w:color="auto"/>
        <w:right w:val="none" w:sz="0" w:space="0" w:color="auto"/>
      </w:divBdr>
    </w:div>
    <w:div w:id="1214804265">
      <w:bodyDiv w:val="1"/>
      <w:marLeft w:val="0"/>
      <w:marRight w:val="0"/>
      <w:marTop w:val="0"/>
      <w:marBottom w:val="0"/>
      <w:divBdr>
        <w:top w:val="none" w:sz="0" w:space="0" w:color="auto"/>
        <w:left w:val="none" w:sz="0" w:space="0" w:color="auto"/>
        <w:bottom w:val="none" w:sz="0" w:space="0" w:color="auto"/>
        <w:right w:val="none" w:sz="0" w:space="0" w:color="auto"/>
      </w:divBdr>
    </w:div>
    <w:div w:id="1215392281">
      <w:bodyDiv w:val="1"/>
      <w:marLeft w:val="0"/>
      <w:marRight w:val="0"/>
      <w:marTop w:val="0"/>
      <w:marBottom w:val="0"/>
      <w:divBdr>
        <w:top w:val="none" w:sz="0" w:space="0" w:color="auto"/>
        <w:left w:val="none" w:sz="0" w:space="0" w:color="auto"/>
        <w:bottom w:val="none" w:sz="0" w:space="0" w:color="auto"/>
        <w:right w:val="none" w:sz="0" w:space="0" w:color="auto"/>
      </w:divBdr>
    </w:div>
    <w:div w:id="1221212491">
      <w:bodyDiv w:val="1"/>
      <w:marLeft w:val="0"/>
      <w:marRight w:val="0"/>
      <w:marTop w:val="0"/>
      <w:marBottom w:val="0"/>
      <w:divBdr>
        <w:top w:val="none" w:sz="0" w:space="0" w:color="auto"/>
        <w:left w:val="none" w:sz="0" w:space="0" w:color="auto"/>
        <w:bottom w:val="none" w:sz="0" w:space="0" w:color="auto"/>
        <w:right w:val="none" w:sz="0" w:space="0" w:color="auto"/>
      </w:divBdr>
    </w:div>
    <w:div w:id="1237741729">
      <w:bodyDiv w:val="1"/>
      <w:marLeft w:val="0"/>
      <w:marRight w:val="0"/>
      <w:marTop w:val="0"/>
      <w:marBottom w:val="0"/>
      <w:divBdr>
        <w:top w:val="none" w:sz="0" w:space="0" w:color="auto"/>
        <w:left w:val="none" w:sz="0" w:space="0" w:color="auto"/>
        <w:bottom w:val="none" w:sz="0" w:space="0" w:color="auto"/>
        <w:right w:val="none" w:sz="0" w:space="0" w:color="auto"/>
      </w:divBdr>
    </w:div>
    <w:div w:id="1242174910">
      <w:bodyDiv w:val="1"/>
      <w:marLeft w:val="0"/>
      <w:marRight w:val="0"/>
      <w:marTop w:val="0"/>
      <w:marBottom w:val="0"/>
      <w:divBdr>
        <w:top w:val="none" w:sz="0" w:space="0" w:color="auto"/>
        <w:left w:val="none" w:sz="0" w:space="0" w:color="auto"/>
        <w:bottom w:val="none" w:sz="0" w:space="0" w:color="auto"/>
        <w:right w:val="none" w:sz="0" w:space="0" w:color="auto"/>
      </w:divBdr>
    </w:div>
    <w:div w:id="1243679300">
      <w:bodyDiv w:val="1"/>
      <w:marLeft w:val="0"/>
      <w:marRight w:val="0"/>
      <w:marTop w:val="0"/>
      <w:marBottom w:val="0"/>
      <w:divBdr>
        <w:top w:val="none" w:sz="0" w:space="0" w:color="auto"/>
        <w:left w:val="none" w:sz="0" w:space="0" w:color="auto"/>
        <w:bottom w:val="none" w:sz="0" w:space="0" w:color="auto"/>
        <w:right w:val="none" w:sz="0" w:space="0" w:color="auto"/>
      </w:divBdr>
    </w:div>
    <w:div w:id="1245408282">
      <w:bodyDiv w:val="1"/>
      <w:marLeft w:val="0"/>
      <w:marRight w:val="0"/>
      <w:marTop w:val="0"/>
      <w:marBottom w:val="0"/>
      <w:divBdr>
        <w:top w:val="none" w:sz="0" w:space="0" w:color="auto"/>
        <w:left w:val="none" w:sz="0" w:space="0" w:color="auto"/>
        <w:bottom w:val="none" w:sz="0" w:space="0" w:color="auto"/>
        <w:right w:val="none" w:sz="0" w:space="0" w:color="auto"/>
      </w:divBdr>
    </w:div>
    <w:div w:id="1252592645">
      <w:bodyDiv w:val="1"/>
      <w:marLeft w:val="0"/>
      <w:marRight w:val="0"/>
      <w:marTop w:val="0"/>
      <w:marBottom w:val="0"/>
      <w:divBdr>
        <w:top w:val="none" w:sz="0" w:space="0" w:color="auto"/>
        <w:left w:val="none" w:sz="0" w:space="0" w:color="auto"/>
        <w:bottom w:val="none" w:sz="0" w:space="0" w:color="auto"/>
        <w:right w:val="none" w:sz="0" w:space="0" w:color="auto"/>
      </w:divBdr>
    </w:div>
    <w:div w:id="1259489229">
      <w:bodyDiv w:val="1"/>
      <w:marLeft w:val="0"/>
      <w:marRight w:val="0"/>
      <w:marTop w:val="0"/>
      <w:marBottom w:val="0"/>
      <w:divBdr>
        <w:top w:val="none" w:sz="0" w:space="0" w:color="auto"/>
        <w:left w:val="none" w:sz="0" w:space="0" w:color="auto"/>
        <w:bottom w:val="none" w:sz="0" w:space="0" w:color="auto"/>
        <w:right w:val="none" w:sz="0" w:space="0" w:color="auto"/>
      </w:divBdr>
    </w:div>
    <w:div w:id="1260676322">
      <w:bodyDiv w:val="1"/>
      <w:marLeft w:val="0"/>
      <w:marRight w:val="0"/>
      <w:marTop w:val="0"/>
      <w:marBottom w:val="0"/>
      <w:divBdr>
        <w:top w:val="none" w:sz="0" w:space="0" w:color="auto"/>
        <w:left w:val="none" w:sz="0" w:space="0" w:color="auto"/>
        <w:bottom w:val="none" w:sz="0" w:space="0" w:color="auto"/>
        <w:right w:val="none" w:sz="0" w:space="0" w:color="auto"/>
      </w:divBdr>
    </w:div>
    <w:div w:id="1261334641">
      <w:bodyDiv w:val="1"/>
      <w:marLeft w:val="0"/>
      <w:marRight w:val="0"/>
      <w:marTop w:val="0"/>
      <w:marBottom w:val="0"/>
      <w:divBdr>
        <w:top w:val="none" w:sz="0" w:space="0" w:color="auto"/>
        <w:left w:val="none" w:sz="0" w:space="0" w:color="auto"/>
        <w:bottom w:val="none" w:sz="0" w:space="0" w:color="auto"/>
        <w:right w:val="none" w:sz="0" w:space="0" w:color="auto"/>
      </w:divBdr>
    </w:div>
    <w:div w:id="1264531506">
      <w:bodyDiv w:val="1"/>
      <w:marLeft w:val="0"/>
      <w:marRight w:val="0"/>
      <w:marTop w:val="0"/>
      <w:marBottom w:val="0"/>
      <w:divBdr>
        <w:top w:val="none" w:sz="0" w:space="0" w:color="auto"/>
        <w:left w:val="none" w:sz="0" w:space="0" w:color="auto"/>
        <w:bottom w:val="none" w:sz="0" w:space="0" w:color="auto"/>
        <w:right w:val="none" w:sz="0" w:space="0" w:color="auto"/>
      </w:divBdr>
    </w:div>
    <w:div w:id="1267424195">
      <w:bodyDiv w:val="1"/>
      <w:marLeft w:val="0"/>
      <w:marRight w:val="0"/>
      <w:marTop w:val="0"/>
      <w:marBottom w:val="0"/>
      <w:divBdr>
        <w:top w:val="none" w:sz="0" w:space="0" w:color="auto"/>
        <w:left w:val="none" w:sz="0" w:space="0" w:color="auto"/>
        <w:bottom w:val="none" w:sz="0" w:space="0" w:color="auto"/>
        <w:right w:val="none" w:sz="0" w:space="0" w:color="auto"/>
      </w:divBdr>
    </w:div>
    <w:div w:id="1272929595">
      <w:bodyDiv w:val="1"/>
      <w:marLeft w:val="0"/>
      <w:marRight w:val="0"/>
      <w:marTop w:val="0"/>
      <w:marBottom w:val="0"/>
      <w:divBdr>
        <w:top w:val="none" w:sz="0" w:space="0" w:color="auto"/>
        <w:left w:val="none" w:sz="0" w:space="0" w:color="auto"/>
        <w:bottom w:val="none" w:sz="0" w:space="0" w:color="auto"/>
        <w:right w:val="none" w:sz="0" w:space="0" w:color="auto"/>
      </w:divBdr>
    </w:div>
    <w:div w:id="1275479958">
      <w:bodyDiv w:val="1"/>
      <w:marLeft w:val="0"/>
      <w:marRight w:val="0"/>
      <w:marTop w:val="0"/>
      <w:marBottom w:val="0"/>
      <w:divBdr>
        <w:top w:val="none" w:sz="0" w:space="0" w:color="auto"/>
        <w:left w:val="none" w:sz="0" w:space="0" w:color="auto"/>
        <w:bottom w:val="none" w:sz="0" w:space="0" w:color="auto"/>
        <w:right w:val="none" w:sz="0" w:space="0" w:color="auto"/>
      </w:divBdr>
    </w:div>
    <w:div w:id="1275748753">
      <w:bodyDiv w:val="1"/>
      <w:marLeft w:val="0"/>
      <w:marRight w:val="0"/>
      <w:marTop w:val="0"/>
      <w:marBottom w:val="0"/>
      <w:divBdr>
        <w:top w:val="none" w:sz="0" w:space="0" w:color="auto"/>
        <w:left w:val="none" w:sz="0" w:space="0" w:color="auto"/>
        <w:bottom w:val="none" w:sz="0" w:space="0" w:color="auto"/>
        <w:right w:val="none" w:sz="0" w:space="0" w:color="auto"/>
      </w:divBdr>
    </w:div>
    <w:div w:id="1275750688">
      <w:bodyDiv w:val="1"/>
      <w:marLeft w:val="0"/>
      <w:marRight w:val="0"/>
      <w:marTop w:val="0"/>
      <w:marBottom w:val="0"/>
      <w:divBdr>
        <w:top w:val="none" w:sz="0" w:space="0" w:color="auto"/>
        <w:left w:val="none" w:sz="0" w:space="0" w:color="auto"/>
        <w:bottom w:val="none" w:sz="0" w:space="0" w:color="auto"/>
        <w:right w:val="none" w:sz="0" w:space="0" w:color="auto"/>
      </w:divBdr>
    </w:div>
    <w:div w:id="1277442757">
      <w:bodyDiv w:val="1"/>
      <w:marLeft w:val="0"/>
      <w:marRight w:val="0"/>
      <w:marTop w:val="0"/>
      <w:marBottom w:val="0"/>
      <w:divBdr>
        <w:top w:val="none" w:sz="0" w:space="0" w:color="auto"/>
        <w:left w:val="none" w:sz="0" w:space="0" w:color="auto"/>
        <w:bottom w:val="none" w:sz="0" w:space="0" w:color="auto"/>
        <w:right w:val="none" w:sz="0" w:space="0" w:color="auto"/>
      </w:divBdr>
    </w:div>
    <w:div w:id="1278951187">
      <w:bodyDiv w:val="1"/>
      <w:marLeft w:val="0"/>
      <w:marRight w:val="0"/>
      <w:marTop w:val="0"/>
      <w:marBottom w:val="0"/>
      <w:divBdr>
        <w:top w:val="none" w:sz="0" w:space="0" w:color="auto"/>
        <w:left w:val="none" w:sz="0" w:space="0" w:color="auto"/>
        <w:bottom w:val="none" w:sz="0" w:space="0" w:color="auto"/>
        <w:right w:val="none" w:sz="0" w:space="0" w:color="auto"/>
      </w:divBdr>
    </w:div>
    <w:div w:id="1280449654">
      <w:bodyDiv w:val="1"/>
      <w:marLeft w:val="0"/>
      <w:marRight w:val="0"/>
      <w:marTop w:val="0"/>
      <w:marBottom w:val="0"/>
      <w:divBdr>
        <w:top w:val="none" w:sz="0" w:space="0" w:color="auto"/>
        <w:left w:val="none" w:sz="0" w:space="0" w:color="auto"/>
        <w:bottom w:val="none" w:sz="0" w:space="0" w:color="auto"/>
        <w:right w:val="none" w:sz="0" w:space="0" w:color="auto"/>
      </w:divBdr>
    </w:div>
    <w:div w:id="1282149376">
      <w:bodyDiv w:val="1"/>
      <w:marLeft w:val="0"/>
      <w:marRight w:val="0"/>
      <w:marTop w:val="0"/>
      <w:marBottom w:val="0"/>
      <w:divBdr>
        <w:top w:val="none" w:sz="0" w:space="0" w:color="auto"/>
        <w:left w:val="none" w:sz="0" w:space="0" w:color="auto"/>
        <w:bottom w:val="none" w:sz="0" w:space="0" w:color="auto"/>
        <w:right w:val="none" w:sz="0" w:space="0" w:color="auto"/>
      </w:divBdr>
    </w:div>
    <w:div w:id="1293167398">
      <w:bodyDiv w:val="1"/>
      <w:marLeft w:val="0"/>
      <w:marRight w:val="0"/>
      <w:marTop w:val="0"/>
      <w:marBottom w:val="0"/>
      <w:divBdr>
        <w:top w:val="none" w:sz="0" w:space="0" w:color="auto"/>
        <w:left w:val="none" w:sz="0" w:space="0" w:color="auto"/>
        <w:bottom w:val="none" w:sz="0" w:space="0" w:color="auto"/>
        <w:right w:val="none" w:sz="0" w:space="0" w:color="auto"/>
      </w:divBdr>
    </w:div>
    <w:div w:id="1296790764">
      <w:bodyDiv w:val="1"/>
      <w:marLeft w:val="0"/>
      <w:marRight w:val="0"/>
      <w:marTop w:val="0"/>
      <w:marBottom w:val="0"/>
      <w:divBdr>
        <w:top w:val="none" w:sz="0" w:space="0" w:color="auto"/>
        <w:left w:val="none" w:sz="0" w:space="0" w:color="auto"/>
        <w:bottom w:val="none" w:sz="0" w:space="0" w:color="auto"/>
        <w:right w:val="none" w:sz="0" w:space="0" w:color="auto"/>
      </w:divBdr>
    </w:div>
    <w:div w:id="1299842230">
      <w:bodyDiv w:val="1"/>
      <w:marLeft w:val="0"/>
      <w:marRight w:val="0"/>
      <w:marTop w:val="0"/>
      <w:marBottom w:val="0"/>
      <w:divBdr>
        <w:top w:val="none" w:sz="0" w:space="0" w:color="auto"/>
        <w:left w:val="none" w:sz="0" w:space="0" w:color="auto"/>
        <w:bottom w:val="none" w:sz="0" w:space="0" w:color="auto"/>
        <w:right w:val="none" w:sz="0" w:space="0" w:color="auto"/>
      </w:divBdr>
    </w:div>
    <w:div w:id="1303197947">
      <w:bodyDiv w:val="1"/>
      <w:marLeft w:val="0"/>
      <w:marRight w:val="0"/>
      <w:marTop w:val="0"/>
      <w:marBottom w:val="0"/>
      <w:divBdr>
        <w:top w:val="none" w:sz="0" w:space="0" w:color="auto"/>
        <w:left w:val="none" w:sz="0" w:space="0" w:color="auto"/>
        <w:bottom w:val="none" w:sz="0" w:space="0" w:color="auto"/>
        <w:right w:val="none" w:sz="0" w:space="0" w:color="auto"/>
      </w:divBdr>
    </w:div>
    <w:div w:id="1305888671">
      <w:bodyDiv w:val="1"/>
      <w:marLeft w:val="0"/>
      <w:marRight w:val="0"/>
      <w:marTop w:val="0"/>
      <w:marBottom w:val="0"/>
      <w:divBdr>
        <w:top w:val="none" w:sz="0" w:space="0" w:color="auto"/>
        <w:left w:val="none" w:sz="0" w:space="0" w:color="auto"/>
        <w:bottom w:val="none" w:sz="0" w:space="0" w:color="auto"/>
        <w:right w:val="none" w:sz="0" w:space="0" w:color="auto"/>
      </w:divBdr>
    </w:div>
    <w:div w:id="1306661719">
      <w:bodyDiv w:val="1"/>
      <w:marLeft w:val="0"/>
      <w:marRight w:val="0"/>
      <w:marTop w:val="0"/>
      <w:marBottom w:val="0"/>
      <w:divBdr>
        <w:top w:val="none" w:sz="0" w:space="0" w:color="auto"/>
        <w:left w:val="none" w:sz="0" w:space="0" w:color="auto"/>
        <w:bottom w:val="none" w:sz="0" w:space="0" w:color="auto"/>
        <w:right w:val="none" w:sz="0" w:space="0" w:color="auto"/>
      </w:divBdr>
    </w:div>
    <w:div w:id="1307391804">
      <w:bodyDiv w:val="1"/>
      <w:marLeft w:val="0"/>
      <w:marRight w:val="0"/>
      <w:marTop w:val="0"/>
      <w:marBottom w:val="0"/>
      <w:divBdr>
        <w:top w:val="none" w:sz="0" w:space="0" w:color="auto"/>
        <w:left w:val="none" w:sz="0" w:space="0" w:color="auto"/>
        <w:bottom w:val="none" w:sz="0" w:space="0" w:color="auto"/>
        <w:right w:val="none" w:sz="0" w:space="0" w:color="auto"/>
      </w:divBdr>
    </w:div>
    <w:div w:id="1313095512">
      <w:bodyDiv w:val="1"/>
      <w:marLeft w:val="0"/>
      <w:marRight w:val="0"/>
      <w:marTop w:val="0"/>
      <w:marBottom w:val="0"/>
      <w:divBdr>
        <w:top w:val="none" w:sz="0" w:space="0" w:color="auto"/>
        <w:left w:val="none" w:sz="0" w:space="0" w:color="auto"/>
        <w:bottom w:val="none" w:sz="0" w:space="0" w:color="auto"/>
        <w:right w:val="none" w:sz="0" w:space="0" w:color="auto"/>
      </w:divBdr>
    </w:div>
    <w:div w:id="1315989876">
      <w:bodyDiv w:val="1"/>
      <w:marLeft w:val="0"/>
      <w:marRight w:val="0"/>
      <w:marTop w:val="0"/>
      <w:marBottom w:val="0"/>
      <w:divBdr>
        <w:top w:val="none" w:sz="0" w:space="0" w:color="auto"/>
        <w:left w:val="none" w:sz="0" w:space="0" w:color="auto"/>
        <w:bottom w:val="none" w:sz="0" w:space="0" w:color="auto"/>
        <w:right w:val="none" w:sz="0" w:space="0" w:color="auto"/>
      </w:divBdr>
    </w:div>
    <w:div w:id="1317144945">
      <w:bodyDiv w:val="1"/>
      <w:marLeft w:val="0"/>
      <w:marRight w:val="0"/>
      <w:marTop w:val="0"/>
      <w:marBottom w:val="0"/>
      <w:divBdr>
        <w:top w:val="none" w:sz="0" w:space="0" w:color="auto"/>
        <w:left w:val="none" w:sz="0" w:space="0" w:color="auto"/>
        <w:bottom w:val="none" w:sz="0" w:space="0" w:color="auto"/>
        <w:right w:val="none" w:sz="0" w:space="0" w:color="auto"/>
      </w:divBdr>
    </w:div>
    <w:div w:id="1319766016">
      <w:bodyDiv w:val="1"/>
      <w:marLeft w:val="0"/>
      <w:marRight w:val="0"/>
      <w:marTop w:val="0"/>
      <w:marBottom w:val="0"/>
      <w:divBdr>
        <w:top w:val="none" w:sz="0" w:space="0" w:color="auto"/>
        <w:left w:val="none" w:sz="0" w:space="0" w:color="auto"/>
        <w:bottom w:val="none" w:sz="0" w:space="0" w:color="auto"/>
        <w:right w:val="none" w:sz="0" w:space="0" w:color="auto"/>
      </w:divBdr>
    </w:div>
    <w:div w:id="1320116954">
      <w:bodyDiv w:val="1"/>
      <w:marLeft w:val="0"/>
      <w:marRight w:val="0"/>
      <w:marTop w:val="0"/>
      <w:marBottom w:val="0"/>
      <w:divBdr>
        <w:top w:val="none" w:sz="0" w:space="0" w:color="auto"/>
        <w:left w:val="none" w:sz="0" w:space="0" w:color="auto"/>
        <w:bottom w:val="none" w:sz="0" w:space="0" w:color="auto"/>
        <w:right w:val="none" w:sz="0" w:space="0" w:color="auto"/>
      </w:divBdr>
    </w:div>
    <w:div w:id="1320158193">
      <w:bodyDiv w:val="1"/>
      <w:marLeft w:val="0"/>
      <w:marRight w:val="0"/>
      <w:marTop w:val="0"/>
      <w:marBottom w:val="0"/>
      <w:divBdr>
        <w:top w:val="none" w:sz="0" w:space="0" w:color="auto"/>
        <w:left w:val="none" w:sz="0" w:space="0" w:color="auto"/>
        <w:bottom w:val="none" w:sz="0" w:space="0" w:color="auto"/>
        <w:right w:val="none" w:sz="0" w:space="0" w:color="auto"/>
      </w:divBdr>
    </w:div>
    <w:div w:id="1323267732">
      <w:bodyDiv w:val="1"/>
      <w:marLeft w:val="0"/>
      <w:marRight w:val="0"/>
      <w:marTop w:val="0"/>
      <w:marBottom w:val="0"/>
      <w:divBdr>
        <w:top w:val="none" w:sz="0" w:space="0" w:color="auto"/>
        <w:left w:val="none" w:sz="0" w:space="0" w:color="auto"/>
        <w:bottom w:val="none" w:sz="0" w:space="0" w:color="auto"/>
        <w:right w:val="none" w:sz="0" w:space="0" w:color="auto"/>
      </w:divBdr>
    </w:div>
    <w:div w:id="1325741949">
      <w:bodyDiv w:val="1"/>
      <w:marLeft w:val="0"/>
      <w:marRight w:val="0"/>
      <w:marTop w:val="0"/>
      <w:marBottom w:val="0"/>
      <w:divBdr>
        <w:top w:val="none" w:sz="0" w:space="0" w:color="auto"/>
        <w:left w:val="none" w:sz="0" w:space="0" w:color="auto"/>
        <w:bottom w:val="none" w:sz="0" w:space="0" w:color="auto"/>
        <w:right w:val="none" w:sz="0" w:space="0" w:color="auto"/>
      </w:divBdr>
    </w:div>
    <w:div w:id="1326514679">
      <w:bodyDiv w:val="1"/>
      <w:marLeft w:val="0"/>
      <w:marRight w:val="0"/>
      <w:marTop w:val="0"/>
      <w:marBottom w:val="0"/>
      <w:divBdr>
        <w:top w:val="none" w:sz="0" w:space="0" w:color="auto"/>
        <w:left w:val="none" w:sz="0" w:space="0" w:color="auto"/>
        <w:bottom w:val="none" w:sz="0" w:space="0" w:color="auto"/>
        <w:right w:val="none" w:sz="0" w:space="0" w:color="auto"/>
      </w:divBdr>
    </w:div>
    <w:div w:id="1328557018">
      <w:bodyDiv w:val="1"/>
      <w:marLeft w:val="0"/>
      <w:marRight w:val="0"/>
      <w:marTop w:val="0"/>
      <w:marBottom w:val="0"/>
      <w:divBdr>
        <w:top w:val="none" w:sz="0" w:space="0" w:color="auto"/>
        <w:left w:val="none" w:sz="0" w:space="0" w:color="auto"/>
        <w:bottom w:val="none" w:sz="0" w:space="0" w:color="auto"/>
        <w:right w:val="none" w:sz="0" w:space="0" w:color="auto"/>
      </w:divBdr>
    </w:div>
    <w:div w:id="1328678159">
      <w:bodyDiv w:val="1"/>
      <w:marLeft w:val="0"/>
      <w:marRight w:val="0"/>
      <w:marTop w:val="0"/>
      <w:marBottom w:val="0"/>
      <w:divBdr>
        <w:top w:val="none" w:sz="0" w:space="0" w:color="auto"/>
        <w:left w:val="none" w:sz="0" w:space="0" w:color="auto"/>
        <w:bottom w:val="none" w:sz="0" w:space="0" w:color="auto"/>
        <w:right w:val="none" w:sz="0" w:space="0" w:color="auto"/>
      </w:divBdr>
    </w:div>
    <w:div w:id="1329405502">
      <w:bodyDiv w:val="1"/>
      <w:marLeft w:val="0"/>
      <w:marRight w:val="0"/>
      <w:marTop w:val="0"/>
      <w:marBottom w:val="0"/>
      <w:divBdr>
        <w:top w:val="none" w:sz="0" w:space="0" w:color="auto"/>
        <w:left w:val="none" w:sz="0" w:space="0" w:color="auto"/>
        <w:bottom w:val="none" w:sz="0" w:space="0" w:color="auto"/>
        <w:right w:val="none" w:sz="0" w:space="0" w:color="auto"/>
      </w:divBdr>
    </w:div>
    <w:div w:id="1330332886">
      <w:bodyDiv w:val="1"/>
      <w:marLeft w:val="0"/>
      <w:marRight w:val="0"/>
      <w:marTop w:val="0"/>
      <w:marBottom w:val="0"/>
      <w:divBdr>
        <w:top w:val="none" w:sz="0" w:space="0" w:color="auto"/>
        <w:left w:val="none" w:sz="0" w:space="0" w:color="auto"/>
        <w:bottom w:val="none" w:sz="0" w:space="0" w:color="auto"/>
        <w:right w:val="none" w:sz="0" w:space="0" w:color="auto"/>
      </w:divBdr>
    </w:div>
    <w:div w:id="1335762430">
      <w:bodyDiv w:val="1"/>
      <w:marLeft w:val="0"/>
      <w:marRight w:val="0"/>
      <w:marTop w:val="0"/>
      <w:marBottom w:val="0"/>
      <w:divBdr>
        <w:top w:val="none" w:sz="0" w:space="0" w:color="auto"/>
        <w:left w:val="none" w:sz="0" w:space="0" w:color="auto"/>
        <w:bottom w:val="none" w:sz="0" w:space="0" w:color="auto"/>
        <w:right w:val="none" w:sz="0" w:space="0" w:color="auto"/>
      </w:divBdr>
    </w:div>
    <w:div w:id="1336303582">
      <w:bodyDiv w:val="1"/>
      <w:marLeft w:val="0"/>
      <w:marRight w:val="0"/>
      <w:marTop w:val="0"/>
      <w:marBottom w:val="0"/>
      <w:divBdr>
        <w:top w:val="none" w:sz="0" w:space="0" w:color="auto"/>
        <w:left w:val="none" w:sz="0" w:space="0" w:color="auto"/>
        <w:bottom w:val="none" w:sz="0" w:space="0" w:color="auto"/>
        <w:right w:val="none" w:sz="0" w:space="0" w:color="auto"/>
      </w:divBdr>
      <w:divsChild>
        <w:div w:id="1093940763">
          <w:marLeft w:val="0"/>
          <w:marRight w:val="0"/>
          <w:marTop w:val="0"/>
          <w:marBottom w:val="0"/>
          <w:divBdr>
            <w:top w:val="none" w:sz="0" w:space="0" w:color="auto"/>
            <w:left w:val="none" w:sz="0" w:space="0" w:color="auto"/>
            <w:bottom w:val="none" w:sz="0" w:space="0" w:color="auto"/>
            <w:right w:val="none" w:sz="0" w:space="0" w:color="auto"/>
          </w:divBdr>
          <w:divsChild>
            <w:div w:id="1331788166">
              <w:marLeft w:val="0"/>
              <w:marRight w:val="0"/>
              <w:marTop w:val="0"/>
              <w:marBottom w:val="0"/>
              <w:divBdr>
                <w:top w:val="none" w:sz="0" w:space="0" w:color="auto"/>
                <w:left w:val="none" w:sz="0" w:space="0" w:color="auto"/>
                <w:bottom w:val="none" w:sz="0" w:space="0" w:color="auto"/>
                <w:right w:val="none" w:sz="0" w:space="0" w:color="auto"/>
              </w:divBdr>
              <w:divsChild>
                <w:div w:id="1161119994">
                  <w:marLeft w:val="0"/>
                  <w:marRight w:val="0"/>
                  <w:marTop w:val="0"/>
                  <w:marBottom w:val="0"/>
                  <w:divBdr>
                    <w:top w:val="none" w:sz="0" w:space="0" w:color="auto"/>
                    <w:left w:val="single" w:sz="6" w:space="17" w:color="CCCCCC"/>
                    <w:bottom w:val="none" w:sz="0" w:space="0" w:color="auto"/>
                    <w:right w:val="single" w:sz="6" w:space="17" w:color="CCCCCC"/>
                  </w:divBdr>
                  <w:divsChild>
                    <w:div w:id="1261718145">
                      <w:marLeft w:val="0"/>
                      <w:marRight w:val="0"/>
                      <w:marTop w:val="0"/>
                      <w:marBottom w:val="0"/>
                      <w:divBdr>
                        <w:top w:val="none" w:sz="0" w:space="0" w:color="auto"/>
                        <w:left w:val="none" w:sz="0" w:space="0" w:color="auto"/>
                        <w:bottom w:val="none" w:sz="0" w:space="0" w:color="auto"/>
                        <w:right w:val="single" w:sz="6" w:space="11" w:color="CCCCCC"/>
                      </w:divBdr>
                      <w:divsChild>
                        <w:div w:id="1032464258">
                          <w:marLeft w:val="0"/>
                          <w:marRight w:val="0"/>
                          <w:marTop w:val="0"/>
                          <w:marBottom w:val="0"/>
                          <w:divBdr>
                            <w:top w:val="none" w:sz="0" w:space="0" w:color="auto"/>
                            <w:left w:val="none" w:sz="0" w:space="0" w:color="auto"/>
                            <w:bottom w:val="none" w:sz="0" w:space="0" w:color="auto"/>
                            <w:right w:val="none" w:sz="0" w:space="0" w:color="auto"/>
                          </w:divBdr>
                          <w:divsChild>
                            <w:div w:id="2590698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157005">
      <w:bodyDiv w:val="1"/>
      <w:marLeft w:val="0"/>
      <w:marRight w:val="0"/>
      <w:marTop w:val="0"/>
      <w:marBottom w:val="0"/>
      <w:divBdr>
        <w:top w:val="none" w:sz="0" w:space="0" w:color="auto"/>
        <w:left w:val="none" w:sz="0" w:space="0" w:color="auto"/>
        <w:bottom w:val="none" w:sz="0" w:space="0" w:color="auto"/>
        <w:right w:val="none" w:sz="0" w:space="0" w:color="auto"/>
      </w:divBdr>
    </w:div>
    <w:div w:id="1345089643">
      <w:bodyDiv w:val="1"/>
      <w:marLeft w:val="0"/>
      <w:marRight w:val="0"/>
      <w:marTop w:val="0"/>
      <w:marBottom w:val="0"/>
      <w:divBdr>
        <w:top w:val="none" w:sz="0" w:space="0" w:color="auto"/>
        <w:left w:val="none" w:sz="0" w:space="0" w:color="auto"/>
        <w:bottom w:val="none" w:sz="0" w:space="0" w:color="auto"/>
        <w:right w:val="none" w:sz="0" w:space="0" w:color="auto"/>
      </w:divBdr>
    </w:div>
    <w:div w:id="1346205323">
      <w:bodyDiv w:val="1"/>
      <w:marLeft w:val="0"/>
      <w:marRight w:val="0"/>
      <w:marTop w:val="0"/>
      <w:marBottom w:val="0"/>
      <w:divBdr>
        <w:top w:val="none" w:sz="0" w:space="0" w:color="auto"/>
        <w:left w:val="none" w:sz="0" w:space="0" w:color="auto"/>
        <w:bottom w:val="none" w:sz="0" w:space="0" w:color="auto"/>
        <w:right w:val="none" w:sz="0" w:space="0" w:color="auto"/>
      </w:divBdr>
    </w:div>
    <w:div w:id="1346902761">
      <w:bodyDiv w:val="1"/>
      <w:marLeft w:val="0"/>
      <w:marRight w:val="0"/>
      <w:marTop w:val="0"/>
      <w:marBottom w:val="0"/>
      <w:divBdr>
        <w:top w:val="none" w:sz="0" w:space="0" w:color="auto"/>
        <w:left w:val="none" w:sz="0" w:space="0" w:color="auto"/>
        <w:bottom w:val="none" w:sz="0" w:space="0" w:color="auto"/>
        <w:right w:val="none" w:sz="0" w:space="0" w:color="auto"/>
      </w:divBdr>
    </w:div>
    <w:div w:id="1352490502">
      <w:bodyDiv w:val="1"/>
      <w:marLeft w:val="0"/>
      <w:marRight w:val="0"/>
      <w:marTop w:val="0"/>
      <w:marBottom w:val="0"/>
      <w:divBdr>
        <w:top w:val="none" w:sz="0" w:space="0" w:color="auto"/>
        <w:left w:val="none" w:sz="0" w:space="0" w:color="auto"/>
        <w:bottom w:val="none" w:sz="0" w:space="0" w:color="auto"/>
        <w:right w:val="none" w:sz="0" w:space="0" w:color="auto"/>
      </w:divBdr>
    </w:div>
    <w:div w:id="1359038835">
      <w:bodyDiv w:val="1"/>
      <w:marLeft w:val="0"/>
      <w:marRight w:val="0"/>
      <w:marTop w:val="0"/>
      <w:marBottom w:val="0"/>
      <w:divBdr>
        <w:top w:val="none" w:sz="0" w:space="0" w:color="auto"/>
        <w:left w:val="none" w:sz="0" w:space="0" w:color="auto"/>
        <w:bottom w:val="none" w:sz="0" w:space="0" w:color="auto"/>
        <w:right w:val="none" w:sz="0" w:space="0" w:color="auto"/>
      </w:divBdr>
    </w:div>
    <w:div w:id="1366909698">
      <w:bodyDiv w:val="1"/>
      <w:marLeft w:val="0"/>
      <w:marRight w:val="0"/>
      <w:marTop w:val="0"/>
      <w:marBottom w:val="0"/>
      <w:divBdr>
        <w:top w:val="none" w:sz="0" w:space="0" w:color="auto"/>
        <w:left w:val="none" w:sz="0" w:space="0" w:color="auto"/>
        <w:bottom w:val="none" w:sz="0" w:space="0" w:color="auto"/>
        <w:right w:val="none" w:sz="0" w:space="0" w:color="auto"/>
      </w:divBdr>
    </w:div>
    <w:div w:id="1367951623">
      <w:bodyDiv w:val="1"/>
      <w:marLeft w:val="0"/>
      <w:marRight w:val="0"/>
      <w:marTop w:val="0"/>
      <w:marBottom w:val="0"/>
      <w:divBdr>
        <w:top w:val="none" w:sz="0" w:space="0" w:color="auto"/>
        <w:left w:val="none" w:sz="0" w:space="0" w:color="auto"/>
        <w:bottom w:val="none" w:sz="0" w:space="0" w:color="auto"/>
        <w:right w:val="none" w:sz="0" w:space="0" w:color="auto"/>
      </w:divBdr>
    </w:div>
    <w:div w:id="1374840185">
      <w:bodyDiv w:val="1"/>
      <w:marLeft w:val="0"/>
      <w:marRight w:val="0"/>
      <w:marTop w:val="0"/>
      <w:marBottom w:val="0"/>
      <w:divBdr>
        <w:top w:val="none" w:sz="0" w:space="0" w:color="auto"/>
        <w:left w:val="none" w:sz="0" w:space="0" w:color="auto"/>
        <w:bottom w:val="none" w:sz="0" w:space="0" w:color="auto"/>
        <w:right w:val="none" w:sz="0" w:space="0" w:color="auto"/>
      </w:divBdr>
    </w:div>
    <w:div w:id="1387686078">
      <w:bodyDiv w:val="1"/>
      <w:marLeft w:val="0"/>
      <w:marRight w:val="0"/>
      <w:marTop w:val="0"/>
      <w:marBottom w:val="0"/>
      <w:divBdr>
        <w:top w:val="none" w:sz="0" w:space="0" w:color="auto"/>
        <w:left w:val="none" w:sz="0" w:space="0" w:color="auto"/>
        <w:bottom w:val="none" w:sz="0" w:space="0" w:color="auto"/>
        <w:right w:val="none" w:sz="0" w:space="0" w:color="auto"/>
      </w:divBdr>
    </w:div>
    <w:div w:id="1387800022">
      <w:bodyDiv w:val="1"/>
      <w:marLeft w:val="0"/>
      <w:marRight w:val="0"/>
      <w:marTop w:val="0"/>
      <w:marBottom w:val="0"/>
      <w:divBdr>
        <w:top w:val="none" w:sz="0" w:space="0" w:color="auto"/>
        <w:left w:val="none" w:sz="0" w:space="0" w:color="auto"/>
        <w:bottom w:val="none" w:sz="0" w:space="0" w:color="auto"/>
        <w:right w:val="none" w:sz="0" w:space="0" w:color="auto"/>
      </w:divBdr>
    </w:div>
    <w:div w:id="1391266737">
      <w:bodyDiv w:val="1"/>
      <w:marLeft w:val="0"/>
      <w:marRight w:val="0"/>
      <w:marTop w:val="0"/>
      <w:marBottom w:val="0"/>
      <w:divBdr>
        <w:top w:val="none" w:sz="0" w:space="0" w:color="auto"/>
        <w:left w:val="none" w:sz="0" w:space="0" w:color="auto"/>
        <w:bottom w:val="none" w:sz="0" w:space="0" w:color="auto"/>
        <w:right w:val="none" w:sz="0" w:space="0" w:color="auto"/>
      </w:divBdr>
    </w:div>
    <w:div w:id="1402437440">
      <w:bodyDiv w:val="1"/>
      <w:marLeft w:val="0"/>
      <w:marRight w:val="0"/>
      <w:marTop w:val="0"/>
      <w:marBottom w:val="0"/>
      <w:divBdr>
        <w:top w:val="none" w:sz="0" w:space="0" w:color="auto"/>
        <w:left w:val="none" w:sz="0" w:space="0" w:color="auto"/>
        <w:bottom w:val="none" w:sz="0" w:space="0" w:color="auto"/>
        <w:right w:val="none" w:sz="0" w:space="0" w:color="auto"/>
      </w:divBdr>
    </w:div>
    <w:div w:id="1402480382">
      <w:bodyDiv w:val="1"/>
      <w:marLeft w:val="0"/>
      <w:marRight w:val="0"/>
      <w:marTop w:val="0"/>
      <w:marBottom w:val="0"/>
      <w:divBdr>
        <w:top w:val="none" w:sz="0" w:space="0" w:color="auto"/>
        <w:left w:val="none" w:sz="0" w:space="0" w:color="auto"/>
        <w:bottom w:val="none" w:sz="0" w:space="0" w:color="auto"/>
        <w:right w:val="none" w:sz="0" w:space="0" w:color="auto"/>
      </w:divBdr>
    </w:div>
    <w:div w:id="1405762958">
      <w:bodyDiv w:val="1"/>
      <w:marLeft w:val="0"/>
      <w:marRight w:val="0"/>
      <w:marTop w:val="0"/>
      <w:marBottom w:val="0"/>
      <w:divBdr>
        <w:top w:val="none" w:sz="0" w:space="0" w:color="auto"/>
        <w:left w:val="none" w:sz="0" w:space="0" w:color="auto"/>
        <w:bottom w:val="none" w:sz="0" w:space="0" w:color="auto"/>
        <w:right w:val="none" w:sz="0" w:space="0" w:color="auto"/>
      </w:divBdr>
    </w:div>
    <w:div w:id="1406535682">
      <w:bodyDiv w:val="1"/>
      <w:marLeft w:val="0"/>
      <w:marRight w:val="0"/>
      <w:marTop w:val="0"/>
      <w:marBottom w:val="0"/>
      <w:divBdr>
        <w:top w:val="none" w:sz="0" w:space="0" w:color="auto"/>
        <w:left w:val="none" w:sz="0" w:space="0" w:color="auto"/>
        <w:bottom w:val="none" w:sz="0" w:space="0" w:color="auto"/>
        <w:right w:val="none" w:sz="0" w:space="0" w:color="auto"/>
      </w:divBdr>
    </w:div>
    <w:div w:id="1406996118">
      <w:bodyDiv w:val="1"/>
      <w:marLeft w:val="0"/>
      <w:marRight w:val="0"/>
      <w:marTop w:val="0"/>
      <w:marBottom w:val="0"/>
      <w:divBdr>
        <w:top w:val="none" w:sz="0" w:space="0" w:color="auto"/>
        <w:left w:val="none" w:sz="0" w:space="0" w:color="auto"/>
        <w:bottom w:val="none" w:sz="0" w:space="0" w:color="auto"/>
        <w:right w:val="none" w:sz="0" w:space="0" w:color="auto"/>
      </w:divBdr>
    </w:div>
    <w:div w:id="1409503599">
      <w:bodyDiv w:val="1"/>
      <w:marLeft w:val="0"/>
      <w:marRight w:val="0"/>
      <w:marTop w:val="0"/>
      <w:marBottom w:val="0"/>
      <w:divBdr>
        <w:top w:val="none" w:sz="0" w:space="0" w:color="auto"/>
        <w:left w:val="none" w:sz="0" w:space="0" w:color="auto"/>
        <w:bottom w:val="none" w:sz="0" w:space="0" w:color="auto"/>
        <w:right w:val="none" w:sz="0" w:space="0" w:color="auto"/>
      </w:divBdr>
    </w:div>
    <w:div w:id="1411343449">
      <w:bodyDiv w:val="1"/>
      <w:marLeft w:val="0"/>
      <w:marRight w:val="0"/>
      <w:marTop w:val="0"/>
      <w:marBottom w:val="0"/>
      <w:divBdr>
        <w:top w:val="none" w:sz="0" w:space="0" w:color="auto"/>
        <w:left w:val="none" w:sz="0" w:space="0" w:color="auto"/>
        <w:bottom w:val="none" w:sz="0" w:space="0" w:color="auto"/>
        <w:right w:val="none" w:sz="0" w:space="0" w:color="auto"/>
      </w:divBdr>
    </w:div>
    <w:div w:id="1419211369">
      <w:bodyDiv w:val="1"/>
      <w:marLeft w:val="0"/>
      <w:marRight w:val="0"/>
      <w:marTop w:val="0"/>
      <w:marBottom w:val="0"/>
      <w:divBdr>
        <w:top w:val="none" w:sz="0" w:space="0" w:color="auto"/>
        <w:left w:val="none" w:sz="0" w:space="0" w:color="auto"/>
        <w:bottom w:val="none" w:sz="0" w:space="0" w:color="auto"/>
        <w:right w:val="none" w:sz="0" w:space="0" w:color="auto"/>
      </w:divBdr>
    </w:div>
    <w:div w:id="1420591096">
      <w:bodyDiv w:val="1"/>
      <w:marLeft w:val="0"/>
      <w:marRight w:val="0"/>
      <w:marTop w:val="0"/>
      <w:marBottom w:val="0"/>
      <w:divBdr>
        <w:top w:val="none" w:sz="0" w:space="0" w:color="auto"/>
        <w:left w:val="none" w:sz="0" w:space="0" w:color="auto"/>
        <w:bottom w:val="none" w:sz="0" w:space="0" w:color="auto"/>
        <w:right w:val="none" w:sz="0" w:space="0" w:color="auto"/>
      </w:divBdr>
    </w:div>
    <w:div w:id="1423528052">
      <w:bodyDiv w:val="1"/>
      <w:marLeft w:val="0"/>
      <w:marRight w:val="0"/>
      <w:marTop w:val="0"/>
      <w:marBottom w:val="0"/>
      <w:divBdr>
        <w:top w:val="none" w:sz="0" w:space="0" w:color="auto"/>
        <w:left w:val="none" w:sz="0" w:space="0" w:color="auto"/>
        <w:bottom w:val="none" w:sz="0" w:space="0" w:color="auto"/>
        <w:right w:val="none" w:sz="0" w:space="0" w:color="auto"/>
      </w:divBdr>
    </w:div>
    <w:div w:id="1428622857">
      <w:bodyDiv w:val="1"/>
      <w:marLeft w:val="0"/>
      <w:marRight w:val="0"/>
      <w:marTop w:val="0"/>
      <w:marBottom w:val="0"/>
      <w:divBdr>
        <w:top w:val="none" w:sz="0" w:space="0" w:color="auto"/>
        <w:left w:val="none" w:sz="0" w:space="0" w:color="auto"/>
        <w:bottom w:val="none" w:sz="0" w:space="0" w:color="auto"/>
        <w:right w:val="none" w:sz="0" w:space="0" w:color="auto"/>
      </w:divBdr>
    </w:div>
    <w:div w:id="1429039216">
      <w:bodyDiv w:val="1"/>
      <w:marLeft w:val="0"/>
      <w:marRight w:val="0"/>
      <w:marTop w:val="0"/>
      <w:marBottom w:val="0"/>
      <w:divBdr>
        <w:top w:val="none" w:sz="0" w:space="0" w:color="auto"/>
        <w:left w:val="none" w:sz="0" w:space="0" w:color="auto"/>
        <w:bottom w:val="none" w:sz="0" w:space="0" w:color="auto"/>
        <w:right w:val="none" w:sz="0" w:space="0" w:color="auto"/>
      </w:divBdr>
    </w:div>
    <w:div w:id="1435370382">
      <w:bodyDiv w:val="1"/>
      <w:marLeft w:val="0"/>
      <w:marRight w:val="0"/>
      <w:marTop w:val="0"/>
      <w:marBottom w:val="0"/>
      <w:divBdr>
        <w:top w:val="none" w:sz="0" w:space="0" w:color="auto"/>
        <w:left w:val="none" w:sz="0" w:space="0" w:color="auto"/>
        <w:bottom w:val="none" w:sz="0" w:space="0" w:color="auto"/>
        <w:right w:val="none" w:sz="0" w:space="0" w:color="auto"/>
      </w:divBdr>
    </w:div>
    <w:div w:id="1446271494">
      <w:bodyDiv w:val="1"/>
      <w:marLeft w:val="0"/>
      <w:marRight w:val="0"/>
      <w:marTop w:val="0"/>
      <w:marBottom w:val="0"/>
      <w:divBdr>
        <w:top w:val="none" w:sz="0" w:space="0" w:color="auto"/>
        <w:left w:val="none" w:sz="0" w:space="0" w:color="auto"/>
        <w:bottom w:val="none" w:sz="0" w:space="0" w:color="auto"/>
        <w:right w:val="none" w:sz="0" w:space="0" w:color="auto"/>
      </w:divBdr>
    </w:div>
    <w:div w:id="1450709129">
      <w:bodyDiv w:val="1"/>
      <w:marLeft w:val="0"/>
      <w:marRight w:val="0"/>
      <w:marTop w:val="0"/>
      <w:marBottom w:val="0"/>
      <w:divBdr>
        <w:top w:val="none" w:sz="0" w:space="0" w:color="auto"/>
        <w:left w:val="none" w:sz="0" w:space="0" w:color="auto"/>
        <w:bottom w:val="none" w:sz="0" w:space="0" w:color="auto"/>
        <w:right w:val="none" w:sz="0" w:space="0" w:color="auto"/>
      </w:divBdr>
    </w:div>
    <w:div w:id="1454401302">
      <w:bodyDiv w:val="1"/>
      <w:marLeft w:val="0"/>
      <w:marRight w:val="0"/>
      <w:marTop w:val="0"/>
      <w:marBottom w:val="0"/>
      <w:divBdr>
        <w:top w:val="none" w:sz="0" w:space="0" w:color="auto"/>
        <w:left w:val="none" w:sz="0" w:space="0" w:color="auto"/>
        <w:bottom w:val="none" w:sz="0" w:space="0" w:color="auto"/>
        <w:right w:val="none" w:sz="0" w:space="0" w:color="auto"/>
      </w:divBdr>
    </w:div>
    <w:div w:id="1457065118">
      <w:bodyDiv w:val="1"/>
      <w:marLeft w:val="0"/>
      <w:marRight w:val="0"/>
      <w:marTop w:val="0"/>
      <w:marBottom w:val="0"/>
      <w:divBdr>
        <w:top w:val="none" w:sz="0" w:space="0" w:color="auto"/>
        <w:left w:val="none" w:sz="0" w:space="0" w:color="auto"/>
        <w:bottom w:val="none" w:sz="0" w:space="0" w:color="auto"/>
        <w:right w:val="none" w:sz="0" w:space="0" w:color="auto"/>
      </w:divBdr>
    </w:div>
    <w:div w:id="1462727284">
      <w:bodyDiv w:val="1"/>
      <w:marLeft w:val="0"/>
      <w:marRight w:val="0"/>
      <w:marTop w:val="0"/>
      <w:marBottom w:val="0"/>
      <w:divBdr>
        <w:top w:val="none" w:sz="0" w:space="0" w:color="auto"/>
        <w:left w:val="none" w:sz="0" w:space="0" w:color="auto"/>
        <w:bottom w:val="none" w:sz="0" w:space="0" w:color="auto"/>
        <w:right w:val="none" w:sz="0" w:space="0" w:color="auto"/>
      </w:divBdr>
    </w:div>
    <w:div w:id="1469779741">
      <w:bodyDiv w:val="1"/>
      <w:marLeft w:val="0"/>
      <w:marRight w:val="0"/>
      <w:marTop w:val="0"/>
      <w:marBottom w:val="0"/>
      <w:divBdr>
        <w:top w:val="none" w:sz="0" w:space="0" w:color="auto"/>
        <w:left w:val="none" w:sz="0" w:space="0" w:color="auto"/>
        <w:bottom w:val="none" w:sz="0" w:space="0" w:color="auto"/>
        <w:right w:val="none" w:sz="0" w:space="0" w:color="auto"/>
      </w:divBdr>
    </w:div>
    <w:div w:id="1477334820">
      <w:bodyDiv w:val="1"/>
      <w:marLeft w:val="0"/>
      <w:marRight w:val="0"/>
      <w:marTop w:val="0"/>
      <w:marBottom w:val="0"/>
      <w:divBdr>
        <w:top w:val="none" w:sz="0" w:space="0" w:color="auto"/>
        <w:left w:val="none" w:sz="0" w:space="0" w:color="auto"/>
        <w:bottom w:val="none" w:sz="0" w:space="0" w:color="auto"/>
        <w:right w:val="none" w:sz="0" w:space="0" w:color="auto"/>
      </w:divBdr>
    </w:div>
    <w:div w:id="1478111495">
      <w:bodyDiv w:val="1"/>
      <w:marLeft w:val="0"/>
      <w:marRight w:val="0"/>
      <w:marTop w:val="0"/>
      <w:marBottom w:val="0"/>
      <w:divBdr>
        <w:top w:val="none" w:sz="0" w:space="0" w:color="auto"/>
        <w:left w:val="none" w:sz="0" w:space="0" w:color="auto"/>
        <w:bottom w:val="none" w:sz="0" w:space="0" w:color="auto"/>
        <w:right w:val="none" w:sz="0" w:space="0" w:color="auto"/>
      </w:divBdr>
    </w:div>
    <w:div w:id="1489054666">
      <w:bodyDiv w:val="1"/>
      <w:marLeft w:val="0"/>
      <w:marRight w:val="0"/>
      <w:marTop w:val="0"/>
      <w:marBottom w:val="0"/>
      <w:divBdr>
        <w:top w:val="none" w:sz="0" w:space="0" w:color="auto"/>
        <w:left w:val="none" w:sz="0" w:space="0" w:color="auto"/>
        <w:bottom w:val="none" w:sz="0" w:space="0" w:color="auto"/>
        <w:right w:val="none" w:sz="0" w:space="0" w:color="auto"/>
      </w:divBdr>
    </w:div>
    <w:div w:id="1492406744">
      <w:bodyDiv w:val="1"/>
      <w:marLeft w:val="0"/>
      <w:marRight w:val="0"/>
      <w:marTop w:val="0"/>
      <w:marBottom w:val="0"/>
      <w:divBdr>
        <w:top w:val="none" w:sz="0" w:space="0" w:color="auto"/>
        <w:left w:val="none" w:sz="0" w:space="0" w:color="auto"/>
        <w:bottom w:val="none" w:sz="0" w:space="0" w:color="auto"/>
        <w:right w:val="none" w:sz="0" w:space="0" w:color="auto"/>
      </w:divBdr>
    </w:div>
    <w:div w:id="1497962917">
      <w:bodyDiv w:val="1"/>
      <w:marLeft w:val="0"/>
      <w:marRight w:val="0"/>
      <w:marTop w:val="0"/>
      <w:marBottom w:val="0"/>
      <w:divBdr>
        <w:top w:val="none" w:sz="0" w:space="0" w:color="auto"/>
        <w:left w:val="none" w:sz="0" w:space="0" w:color="auto"/>
        <w:bottom w:val="none" w:sz="0" w:space="0" w:color="auto"/>
        <w:right w:val="none" w:sz="0" w:space="0" w:color="auto"/>
      </w:divBdr>
    </w:div>
    <w:div w:id="1500122676">
      <w:bodyDiv w:val="1"/>
      <w:marLeft w:val="0"/>
      <w:marRight w:val="0"/>
      <w:marTop w:val="0"/>
      <w:marBottom w:val="0"/>
      <w:divBdr>
        <w:top w:val="none" w:sz="0" w:space="0" w:color="auto"/>
        <w:left w:val="none" w:sz="0" w:space="0" w:color="auto"/>
        <w:bottom w:val="none" w:sz="0" w:space="0" w:color="auto"/>
        <w:right w:val="none" w:sz="0" w:space="0" w:color="auto"/>
      </w:divBdr>
    </w:div>
    <w:div w:id="1500189834">
      <w:bodyDiv w:val="1"/>
      <w:marLeft w:val="0"/>
      <w:marRight w:val="0"/>
      <w:marTop w:val="0"/>
      <w:marBottom w:val="0"/>
      <w:divBdr>
        <w:top w:val="none" w:sz="0" w:space="0" w:color="auto"/>
        <w:left w:val="none" w:sz="0" w:space="0" w:color="auto"/>
        <w:bottom w:val="none" w:sz="0" w:space="0" w:color="auto"/>
        <w:right w:val="none" w:sz="0" w:space="0" w:color="auto"/>
      </w:divBdr>
    </w:div>
    <w:div w:id="1502812486">
      <w:bodyDiv w:val="1"/>
      <w:marLeft w:val="0"/>
      <w:marRight w:val="0"/>
      <w:marTop w:val="0"/>
      <w:marBottom w:val="0"/>
      <w:divBdr>
        <w:top w:val="none" w:sz="0" w:space="0" w:color="auto"/>
        <w:left w:val="none" w:sz="0" w:space="0" w:color="auto"/>
        <w:bottom w:val="none" w:sz="0" w:space="0" w:color="auto"/>
        <w:right w:val="none" w:sz="0" w:space="0" w:color="auto"/>
      </w:divBdr>
    </w:div>
    <w:div w:id="1509834473">
      <w:bodyDiv w:val="1"/>
      <w:marLeft w:val="0"/>
      <w:marRight w:val="0"/>
      <w:marTop w:val="0"/>
      <w:marBottom w:val="0"/>
      <w:divBdr>
        <w:top w:val="none" w:sz="0" w:space="0" w:color="auto"/>
        <w:left w:val="none" w:sz="0" w:space="0" w:color="auto"/>
        <w:bottom w:val="none" w:sz="0" w:space="0" w:color="auto"/>
        <w:right w:val="none" w:sz="0" w:space="0" w:color="auto"/>
      </w:divBdr>
    </w:div>
    <w:div w:id="1510481570">
      <w:bodyDiv w:val="1"/>
      <w:marLeft w:val="0"/>
      <w:marRight w:val="0"/>
      <w:marTop w:val="0"/>
      <w:marBottom w:val="0"/>
      <w:divBdr>
        <w:top w:val="none" w:sz="0" w:space="0" w:color="auto"/>
        <w:left w:val="none" w:sz="0" w:space="0" w:color="auto"/>
        <w:bottom w:val="none" w:sz="0" w:space="0" w:color="auto"/>
        <w:right w:val="none" w:sz="0" w:space="0" w:color="auto"/>
      </w:divBdr>
    </w:div>
    <w:div w:id="1517960071">
      <w:bodyDiv w:val="1"/>
      <w:marLeft w:val="0"/>
      <w:marRight w:val="0"/>
      <w:marTop w:val="0"/>
      <w:marBottom w:val="0"/>
      <w:divBdr>
        <w:top w:val="none" w:sz="0" w:space="0" w:color="auto"/>
        <w:left w:val="none" w:sz="0" w:space="0" w:color="auto"/>
        <w:bottom w:val="none" w:sz="0" w:space="0" w:color="auto"/>
        <w:right w:val="none" w:sz="0" w:space="0" w:color="auto"/>
      </w:divBdr>
    </w:div>
    <w:div w:id="1518960579">
      <w:bodyDiv w:val="1"/>
      <w:marLeft w:val="0"/>
      <w:marRight w:val="0"/>
      <w:marTop w:val="0"/>
      <w:marBottom w:val="0"/>
      <w:divBdr>
        <w:top w:val="none" w:sz="0" w:space="0" w:color="auto"/>
        <w:left w:val="none" w:sz="0" w:space="0" w:color="auto"/>
        <w:bottom w:val="none" w:sz="0" w:space="0" w:color="auto"/>
        <w:right w:val="none" w:sz="0" w:space="0" w:color="auto"/>
      </w:divBdr>
    </w:div>
    <w:div w:id="1519390602">
      <w:bodyDiv w:val="1"/>
      <w:marLeft w:val="0"/>
      <w:marRight w:val="0"/>
      <w:marTop w:val="0"/>
      <w:marBottom w:val="0"/>
      <w:divBdr>
        <w:top w:val="none" w:sz="0" w:space="0" w:color="auto"/>
        <w:left w:val="none" w:sz="0" w:space="0" w:color="auto"/>
        <w:bottom w:val="none" w:sz="0" w:space="0" w:color="auto"/>
        <w:right w:val="none" w:sz="0" w:space="0" w:color="auto"/>
      </w:divBdr>
    </w:div>
    <w:div w:id="1525554541">
      <w:bodyDiv w:val="1"/>
      <w:marLeft w:val="0"/>
      <w:marRight w:val="0"/>
      <w:marTop w:val="0"/>
      <w:marBottom w:val="0"/>
      <w:divBdr>
        <w:top w:val="none" w:sz="0" w:space="0" w:color="auto"/>
        <w:left w:val="none" w:sz="0" w:space="0" w:color="auto"/>
        <w:bottom w:val="none" w:sz="0" w:space="0" w:color="auto"/>
        <w:right w:val="none" w:sz="0" w:space="0" w:color="auto"/>
      </w:divBdr>
    </w:div>
    <w:div w:id="1526216316">
      <w:bodyDiv w:val="1"/>
      <w:marLeft w:val="0"/>
      <w:marRight w:val="0"/>
      <w:marTop w:val="0"/>
      <w:marBottom w:val="0"/>
      <w:divBdr>
        <w:top w:val="none" w:sz="0" w:space="0" w:color="auto"/>
        <w:left w:val="none" w:sz="0" w:space="0" w:color="auto"/>
        <w:bottom w:val="none" w:sz="0" w:space="0" w:color="auto"/>
        <w:right w:val="none" w:sz="0" w:space="0" w:color="auto"/>
      </w:divBdr>
    </w:div>
    <w:div w:id="1528133717">
      <w:bodyDiv w:val="1"/>
      <w:marLeft w:val="0"/>
      <w:marRight w:val="0"/>
      <w:marTop w:val="0"/>
      <w:marBottom w:val="0"/>
      <w:divBdr>
        <w:top w:val="none" w:sz="0" w:space="0" w:color="auto"/>
        <w:left w:val="none" w:sz="0" w:space="0" w:color="auto"/>
        <w:bottom w:val="none" w:sz="0" w:space="0" w:color="auto"/>
        <w:right w:val="none" w:sz="0" w:space="0" w:color="auto"/>
      </w:divBdr>
    </w:div>
    <w:div w:id="1533575130">
      <w:bodyDiv w:val="1"/>
      <w:marLeft w:val="0"/>
      <w:marRight w:val="0"/>
      <w:marTop w:val="0"/>
      <w:marBottom w:val="0"/>
      <w:divBdr>
        <w:top w:val="none" w:sz="0" w:space="0" w:color="auto"/>
        <w:left w:val="none" w:sz="0" w:space="0" w:color="auto"/>
        <w:bottom w:val="none" w:sz="0" w:space="0" w:color="auto"/>
        <w:right w:val="none" w:sz="0" w:space="0" w:color="auto"/>
      </w:divBdr>
    </w:div>
    <w:div w:id="1535847154">
      <w:bodyDiv w:val="1"/>
      <w:marLeft w:val="0"/>
      <w:marRight w:val="0"/>
      <w:marTop w:val="0"/>
      <w:marBottom w:val="0"/>
      <w:divBdr>
        <w:top w:val="none" w:sz="0" w:space="0" w:color="auto"/>
        <w:left w:val="none" w:sz="0" w:space="0" w:color="auto"/>
        <w:bottom w:val="none" w:sz="0" w:space="0" w:color="auto"/>
        <w:right w:val="none" w:sz="0" w:space="0" w:color="auto"/>
      </w:divBdr>
    </w:div>
    <w:div w:id="1540783155">
      <w:bodyDiv w:val="1"/>
      <w:marLeft w:val="0"/>
      <w:marRight w:val="0"/>
      <w:marTop w:val="0"/>
      <w:marBottom w:val="0"/>
      <w:divBdr>
        <w:top w:val="none" w:sz="0" w:space="0" w:color="auto"/>
        <w:left w:val="none" w:sz="0" w:space="0" w:color="auto"/>
        <w:bottom w:val="none" w:sz="0" w:space="0" w:color="auto"/>
        <w:right w:val="none" w:sz="0" w:space="0" w:color="auto"/>
      </w:divBdr>
    </w:div>
    <w:div w:id="1542395712">
      <w:bodyDiv w:val="1"/>
      <w:marLeft w:val="0"/>
      <w:marRight w:val="0"/>
      <w:marTop w:val="0"/>
      <w:marBottom w:val="0"/>
      <w:divBdr>
        <w:top w:val="none" w:sz="0" w:space="0" w:color="auto"/>
        <w:left w:val="none" w:sz="0" w:space="0" w:color="auto"/>
        <w:bottom w:val="none" w:sz="0" w:space="0" w:color="auto"/>
        <w:right w:val="none" w:sz="0" w:space="0" w:color="auto"/>
      </w:divBdr>
    </w:div>
    <w:div w:id="1545143174">
      <w:bodyDiv w:val="1"/>
      <w:marLeft w:val="0"/>
      <w:marRight w:val="0"/>
      <w:marTop w:val="0"/>
      <w:marBottom w:val="0"/>
      <w:divBdr>
        <w:top w:val="none" w:sz="0" w:space="0" w:color="auto"/>
        <w:left w:val="none" w:sz="0" w:space="0" w:color="auto"/>
        <w:bottom w:val="none" w:sz="0" w:space="0" w:color="auto"/>
        <w:right w:val="none" w:sz="0" w:space="0" w:color="auto"/>
      </w:divBdr>
    </w:div>
    <w:div w:id="1545747307">
      <w:bodyDiv w:val="1"/>
      <w:marLeft w:val="0"/>
      <w:marRight w:val="0"/>
      <w:marTop w:val="0"/>
      <w:marBottom w:val="0"/>
      <w:divBdr>
        <w:top w:val="none" w:sz="0" w:space="0" w:color="auto"/>
        <w:left w:val="none" w:sz="0" w:space="0" w:color="auto"/>
        <w:bottom w:val="none" w:sz="0" w:space="0" w:color="auto"/>
        <w:right w:val="none" w:sz="0" w:space="0" w:color="auto"/>
      </w:divBdr>
    </w:div>
    <w:div w:id="1549611518">
      <w:bodyDiv w:val="1"/>
      <w:marLeft w:val="0"/>
      <w:marRight w:val="0"/>
      <w:marTop w:val="0"/>
      <w:marBottom w:val="0"/>
      <w:divBdr>
        <w:top w:val="none" w:sz="0" w:space="0" w:color="auto"/>
        <w:left w:val="none" w:sz="0" w:space="0" w:color="auto"/>
        <w:bottom w:val="none" w:sz="0" w:space="0" w:color="auto"/>
        <w:right w:val="none" w:sz="0" w:space="0" w:color="auto"/>
      </w:divBdr>
    </w:div>
    <w:div w:id="1551573501">
      <w:bodyDiv w:val="1"/>
      <w:marLeft w:val="0"/>
      <w:marRight w:val="0"/>
      <w:marTop w:val="0"/>
      <w:marBottom w:val="0"/>
      <w:divBdr>
        <w:top w:val="none" w:sz="0" w:space="0" w:color="auto"/>
        <w:left w:val="none" w:sz="0" w:space="0" w:color="auto"/>
        <w:bottom w:val="none" w:sz="0" w:space="0" w:color="auto"/>
        <w:right w:val="none" w:sz="0" w:space="0" w:color="auto"/>
      </w:divBdr>
    </w:div>
    <w:div w:id="1557736473">
      <w:bodyDiv w:val="1"/>
      <w:marLeft w:val="0"/>
      <w:marRight w:val="0"/>
      <w:marTop w:val="0"/>
      <w:marBottom w:val="0"/>
      <w:divBdr>
        <w:top w:val="none" w:sz="0" w:space="0" w:color="auto"/>
        <w:left w:val="none" w:sz="0" w:space="0" w:color="auto"/>
        <w:bottom w:val="none" w:sz="0" w:space="0" w:color="auto"/>
        <w:right w:val="none" w:sz="0" w:space="0" w:color="auto"/>
      </w:divBdr>
    </w:div>
    <w:div w:id="1567642793">
      <w:bodyDiv w:val="1"/>
      <w:marLeft w:val="0"/>
      <w:marRight w:val="0"/>
      <w:marTop w:val="0"/>
      <w:marBottom w:val="0"/>
      <w:divBdr>
        <w:top w:val="none" w:sz="0" w:space="0" w:color="auto"/>
        <w:left w:val="none" w:sz="0" w:space="0" w:color="auto"/>
        <w:bottom w:val="none" w:sz="0" w:space="0" w:color="auto"/>
        <w:right w:val="none" w:sz="0" w:space="0" w:color="auto"/>
      </w:divBdr>
    </w:div>
    <w:div w:id="1567760733">
      <w:bodyDiv w:val="1"/>
      <w:marLeft w:val="0"/>
      <w:marRight w:val="0"/>
      <w:marTop w:val="0"/>
      <w:marBottom w:val="0"/>
      <w:divBdr>
        <w:top w:val="none" w:sz="0" w:space="0" w:color="auto"/>
        <w:left w:val="none" w:sz="0" w:space="0" w:color="auto"/>
        <w:bottom w:val="none" w:sz="0" w:space="0" w:color="auto"/>
        <w:right w:val="none" w:sz="0" w:space="0" w:color="auto"/>
      </w:divBdr>
    </w:div>
    <w:div w:id="1582136787">
      <w:bodyDiv w:val="1"/>
      <w:marLeft w:val="0"/>
      <w:marRight w:val="0"/>
      <w:marTop w:val="0"/>
      <w:marBottom w:val="0"/>
      <w:divBdr>
        <w:top w:val="none" w:sz="0" w:space="0" w:color="auto"/>
        <w:left w:val="none" w:sz="0" w:space="0" w:color="auto"/>
        <w:bottom w:val="none" w:sz="0" w:space="0" w:color="auto"/>
        <w:right w:val="none" w:sz="0" w:space="0" w:color="auto"/>
      </w:divBdr>
    </w:div>
    <w:div w:id="1587038044">
      <w:bodyDiv w:val="1"/>
      <w:marLeft w:val="0"/>
      <w:marRight w:val="0"/>
      <w:marTop w:val="0"/>
      <w:marBottom w:val="0"/>
      <w:divBdr>
        <w:top w:val="none" w:sz="0" w:space="0" w:color="auto"/>
        <w:left w:val="none" w:sz="0" w:space="0" w:color="auto"/>
        <w:bottom w:val="none" w:sz="0" w:space="0" w:color="auto"/>
        <w:right w:val="none" w:sz="0" w:space="0" w:color="auto"/>
      </w:divBdr>
    </w:div>
    <w:div w:id="1588146898">
      <w:bodyDiv w:val="1"/>
      <w:marLeft w:val="0"/>
      <w:marRight w:val="0"/>
      <w:marTop w:val="0"/>
      <w:marBottom w:val="0"/>
      <w:divBdr>
        <w:top w:val="none" w:sz="0" w:space="0" w:color="auto"/>
        <w:left w:val="none" w:sz="0" w:space="0" w:color="auto"/>
        <w:bottom w:val="none" w:sz="0" w:space="0" w:color="auto"/>
        <w:right w:val="none" w:sz="0" w:space="0" w:color="auto"/>
      </w:divBdr>
    </w:div>
    <w:div w:id="1593272626">
      <w:bodyDiv w:val="1"/>
      <w:marLeft w:val="0"/>
      <w:marRight w:val="0"/>
      <w:marTop w:val="0"/>
      <w:marBottom w:val="0"/>
      <w:divBdr>
        <w:top w:val="none" w:sz="0" w:space="0" w:color="auto"/>
        <w:left w:val="none" w:sz="0" w:space="0" w:color="auto"/>
        <w:bottom w:val="none" w:sz="0" w:space="0" w:color="auto"/>
        <w:right w:val="none" w:sz="0" w:space="0" w:color="auto"/>
      </w:divBdr>
    </w:div>
    <w:div w:id="1594511485">
      <w:bodyDiv w:val="1"/>
      <w:marLeft w:val="0"/>
      <w:marRight w:val="0"/>
      <w:marTop w:val="0"/>
      <w:marBottom w:val="0"/>
      <w:divBdr>
        <w:top w:val="none" w:sz="0" w:space="0" w:color="auto"/>
        <w:left w:val="none" w:sz="0" w:space="0" w:color="auto"/>
        <w:bottom w:val="none" w:sz="0" w:space="0" w:color="auto"/>
        <w:right w:val="none" w:sz="0" w:space="0" w:color="auto"/>
      </w:divBdr>
    </w:div>
    <w:div w:id="1594705616">
      <w:bodyDiv w:val="1"/>
      <w:marLeft w:val="0"/>
      <w:marRight w:val="0"/>
      <w:marTop w:val="0"/>
      <w:marBottom w:val="0"/>
      <w:divBdr>
        <w:top w:val="none" w:sz="0" w:space="0" w:color="auto"/>
        <w:left w:val="none" w:sz="0" w:space="0" w:color="auto"/>
        <w:bottom w:val="none" w:sz="0" w:space="0" w:color="auto"/>
        <w:right w:val="none" w:sz="0" w:space="0" w:color="auto"/>
      </w:divBdr>
    </w:div>
    <w:div w:id="1595474430">
      <w:bodyDiv w:val="1"/>
      <w:marLeft w:val="0"/>
      <w:marRight w:val="0"/>
      <w:marTop w:val="0"/>
      <w:marBottom w:val="0"/>
      <w:divBdr>
        <w:top w:val="none" w:sz="0" w:space="0" w:color="auto"/>
        <w:left w:val="none" w:sz="0" w:space="0" w:color="auto"/>
        <w:bottom w:val="none" w:sz="0" w:space="0" w:color="auto"/>
        <w:right w:val="none" w:sz="0" w:space="0" w:color="auto"/>
      </w:divBdr>
    </w:div>
    <w:div w:id="1595744186">
      <w:bodyDiv w:val="1"/>
      <w:marLeft w:val="0"/>
      <w:marRight w:val="0"/>
      <w:marTop w:val="0"/>
      <w:marBottom w:val="0"/>
      <w:divBdr>
        <w:top w:val="none" w:sz="0" w:space="0" w:color="auto"/>
        <w:left w:val="none" w:sz="0" w:space="0" w:color="auto"/>
        <w:bottom w:val="none" w:sz="0" w:space="0" w:color="auto"/>
        <w:right w:val="none" w:sz="0" w:space="0" w:color="auto"/>
      </w:divBdr>
    </w:div>
    <w:div w:id="1595817945">
      <w:bodyDiv w:val="1"/>
      <w:marLeft w:val="0"/>
      <w:marRight w:val="0"/>
      <w:marTop w:val="0"/>
      <w:marBottom w:val="0"/>
      <w:divBdr>
        <w:top w:val="none" w:sz="0" w:space="0" w:color="auto"/>
        <w:left w:val="none" w:sz="0" w:space="0" w:color="auto"/>
        <w:bottom w:val="none" w:sz="0" w:space="0" w:color="auto"/>
        <w:right w:val="none" w:sz="0" w:space="0" w:color="auto"/>
      </w:divBdr>
    </w:div>
    <w:div w:id="1611161317">
      <w:bodyDiv w:val="1"/>
      <w:marLeft w:val="0"/>
      <w:marRight w:val="0"/>
      <w:marTop w:val="0"/>
      <w:marBottom w:val="0"/>
      <w:divBdr>
        <w:top w:val="none" w:sz="0" w:space="0" w:color="auto"/>
        <w:left w:val="none" w:sz="0" w:space="0" w:color="auto"/>
        <w:bottom w:val="none" w:sz="0" w:space="0" w:color="auto"/>
        <w:right w:val="none" w:sz="0" w:space="0" w:color="auto"/>
      </w:divBdr>
    </w:div>
    <w:div w:id="1615479380">
      <w:bodyDiv w:val="1"/>
      <w:marLeft w:val="0"/>
      <w:marRight w:val="0"/>
      <w:marTop w:val="0"/>
      <w:marBottom w:val="0"/>
      <w:divBdr>
        <w:top w:val="none" w:sz="0" w:space="0" w:color="auto"/>
        <w:left w:val="none" w:sz="0" w:space="0" w:color="auto"/>
        <w:bottom w:val="none" w:sz="0" w:space="0" w:color="auto"/>
        <w:right w:val="none" w:sz="0" w:space="0" w:color="auto"/>
      </w:divBdr>
    </w:div>
    <w:div w:id="1619798484">
      <w:bodyDiv w:val="1"/>
      <w:marLeft w:val="0"/>
      <w:marRight w:val="0"/>
      <w:marTop w:val="0"/>
      <w:marBottom w:val="0"/>
      <w:divBdr>
        <w:top w:val="none" w:sz="0" w:space="0" w:color="auto"/>
        <w:left w:val="none" w:sz="0" w:space="0" w:color="auto"/>
        <w:bottom w:val="none" w:sz="0" w:space="0" w:color="auto"/>
        <w:right w:val="none" w:sz="0" w:space="0" w:color="auto"/>
      </w:divBdr>
    </w:div>
    <w:div w:id="1620334973">
      <w:bodyDiv w:val="1"/>
      <w:marLeft w:val="0"/>
      <w:marRight w:val="0"/>
      <w:marTop w:val="0"/>
      <w:marBottom w:val="0"/>
      <w:divBdr>
        <w:top w:val="none" w:sz="0" w:space="0" w:color="auto"/>
        <w:left w:val="none" w:sz="0" w:space="0" w:color="auto"/>
        <w:bottom w:val="none" w:sz="0" w:space="0" w:color="auto"/>
        <w:right w:val="none" w:sz="0" w:space="0" w:color="auto"/>
      </w:divBdr>
    </w:div>
    <w:div w:id="1620337294">
      <w:bodyDiv w:val="1"/>
      <w:marLeft w:val="0"/>
      <w:marRight w:val="0"/>
      <w:marTop w:val="0"/>
      <w:marBottom w:val="0"/>
      <w:divBdr>
        <w:top w:val="none" w:sz="0" w:space="0" w:color="auto"/>
        <w:left w:val="none" w:sz="0" w:space="0" w:color="auto"/>
        <w:bottom w:val="none" w:sz="0" w:space="0" w:color="auto"/>
        <w:right w:val="none" w:sz="0" w:space="0" w:color="auto"/>
      </w:divBdr>
    </w:div>
    <w:div w:id="1623339048">
      <w:bodyDiv w:val="1"/>
      <w:marLeft w:val="0"/>
      <w:marRight w:val="0"/>
      <w:marTop w:val="0"/>
      <w:marBottom w:val="0"/>
      <w:divBdr>
        <w:top w:val="none" w:sz="0" w:space="0" w:color="auto"/>
        <w:left w:val="none" w:sz="0" w:space="0" w:color="auto"/>
        <w:bottom w:val="none" w:sz="0" w:space="0" w:color="auto"/>
        <w:right w:val="none" w:sz="0" w:space="0" w:color="auto"/>
      </w:divBdr>
    </w:div>
    <w:div w:id="1637375766">
      <w:bodyDiv w:val="1"/>
      <w:marLeft w:val="0"/>
      <w:marRight w:val="0"/>
      <w:marTop w:val="0"/>
      <w:marBottom w:val="0"/>
      <w:divBdr>
        <w:top w:val="none" w:sz="0" w:space="0" w:color="auto"/>
        <w:left w:val="none" w:sz="0" w:space="0" w:color="auto"/>
        <w:bottom w:val="none" w:sz="0" w:space="0" w:color="auto"/>
        <w:right w:val="none" w:sz="0" w:space="0" w:color="auto"/>
      </w:divBdr>
    </w:div>
    <w:div w:id="1639214969">
      <w:bodyDiv w:val="1"/>
      <w:marLeft w:val="0"/>
      <w:marRight w:val="0"/>
      <w:marTop w:val="0"/>
      <w:marBottom w:val="0"/>
      <w:divBdr>
        <w:top w:val="none" w:sz="0" w:space="0" w:color="auto"/>
        <w:left w:val="none" w:sz="0" w:space="0" w:color="auto"/>
        <w:bottom w:val="none" w:sz="0" w:space="0" w:color="auto"/>
        <w:right w:val="none" w:sz="0" w:space="0" w:color="auto"/>
      </w:divBdr>
    </w:div>
    <w:div w:id="1641954846">
      <w:bodyDiv w:val="1"/>
      <w:marLeft w:val="0"/>
      <w:marRight w:val="0"/>
      <w:marTop w:val="0"/>
      <w:marBottom w:val="0"/>
      <w:divBdr>
        <w:top w:val="none" w:sz="0" w:space="0" w:color="auto"/>
        <w:left w:val="none" w:sz="0" w:space="0" w:color="auto"/>
        <w:bottom w:val="none" w:sz="0" w:space="0" w:color="auto"/>
        <w:right w:val="none" w:sz="0" w:space="0" w:color="auto"/>
      </w:divBdr>
    </w:div>
    <w:div w:id="1642691931">
      <w:bodyDiv w:val="1"/>
      <w:marLeft w:val="0"/>
      <w:marRight w:val="0"/>
      <w:marTop w:val="0"/>
      <w:marBottom w:val="0"/>
      <w:divBdr>
        <w:top w:val="none" w:sz="0" w:space="0" w:color="auto"/>
        <w:left w:val="none" w:sz="0" w:space="0" w:color="auto"/>
        <w:bottom w:val="none" w:sz="0" w:space="0" w:color="auto"/>
        <w:right w:val="none" w:sz="0" w:space="0" w:color="auto"/>
      </w:divBdr>
    </w:div>
    <w:div w:id="1649893719">
      <w:bodyDiv w:val="1"/>
      <w:marLeft w:val="0"/>
      <w:marRight w:val="0"/>
      <w:marTop w:val="0"/>
      <w:marBottom w:val="0"/>
      <w:divBdr>
        <w:top w:val="none" w:sz="0" w:space="0" w:color="auto"/>
        <w:left w:val="none" w:sz="0" w:space="0" w:color="auto"/>
        <w:bottom w:val="none" w:sz="0" w:space="0" w:color="auto"/>
        <w:right w:val="none" w:sz="0" w:space="0" w:color="auto"/>
      </w:divBdr>
    </w:div>
    <w:div w:id="1651788165">
      <w:bodyDiv w:val="1"/>
      <w:marLeft w:val="0"/>
      <w:marRight w:val="0"/>
      <w:marTop w:val="0"/>
      <w:marBottom w:val="0"/>
      <w:divBdr>
        <w:top w:val="none" w:sz="0" w:space="0" w:color="auto"/>
        <w:left w:val="none" w:sz="0" w:space="0" w:color="auto"/>
        <w:bottom w:val="none" w:sz="0" w:space="0" w:color="auto"/>
        <w:right w:val="none" w:sz="0" w:space="0" w:color="auto"/>
      </w:divBdr>
      <w:divsChild>
        <w:div w:id="1577327874">
          <w:marLeft w:val="0"/>
          <w:marRight w:val="0"/>
          <w:marTop w:val="0"/>
          <w:marBottom w:val="0"/>
          <w:divBdr>
            <w:top w:val="none" w:sz="0" w:space="0" w:color="auto"/>
            <w:left w:val="none" w:sz="0" w:space="0" w:color="auto"/>
            <w:bottom w:val="none" w:sz="0" w:space="0" w:color="auto"/>
            <w:right w:val="none" w:sz="0" w:space="0" w:color="auto"/>
          </w:divBdr>
        </w:div>
      </w:divsChild>
    </w:div>
    <w:div w:id="1655454452">
      <w:bodyDiv w:val="1"/>
      <w:marLeft w:val="0"/>
      <w:marRight w:val="0"/>
      <w:marTop w:val="0"/>
      <w:marBottom w:val="0"/>
      <w:divBdr>
        <w:top w:val="none" w:sz="0" w:space="0" w:color="auto"/>
        <w:left w:val="none" w:sz="0" w:space="0" w:color="auto"/>
        <w:bottom w:val="none" w:sz="0" w:space="0" w:color="auto"/>
        <w:right w:val="none" w:sz="0" w:space="0" w:color="auto"/>
      </w:divBdr>
    </w:div>
    <w:div w:id="1655987093">
      <w:bodyDiv w:val="1"/>
      <w:marLeft w:val="0"/>
      <w:marRight w:val="0"/>
      <w:marTop w:val="0"/>
      <w:marBottom w:val="0"/>
      <w:divBdr>
        <w:top w:val="none" w:sz="0" w:space="0" w:color="auto"/>
        <w:left w:val="none" w:sz="0" w:space="0" w:color="auto"/>
        <w:bottom w:val="none" w:sz="0" w:space="0" w:color="auto"/>
        <w:right w:val="none" w:sz="0" w:space="0" w:color="auto"/>
      </w:divBdr>
    </w:div>
    <w:div w:id="1670213912">
      <w:bodyDiv w:val="1"/>
      <w:marLeft w:val="0"/>
      <w:marRight w:val="0"/>
      <w:marTop w:val="0"/>
      <w:marBottom w:val="0"/>
      <w:divBdr>
        <w:top w:val="none" w:sz="0" w:space="0" w:color="auto"/>
        <w:left w:val="none" w:sz="0" w:space="0" w:color="auto"/>
        <w:bottom w:val="none" w:sz="0" w:space="0" w:color="auto"/>
        <w:right w:val="none" w:sz="0" w:space="0" w:color="auto"/>
      </w:divBdr>
    </w:div>
    <w:div w:id="1673222543">
      <w:bodyDiv w:val="1"/>
      <w:marLeft w:val="0"/>
      <w:marRight w:val="0"/>
      <w:marTop w:val="0"/>
      <w:marBottom w:val="0"/>
      <w:divBdr>
        <w:top w:val="none" w:sz="0" w:space="0" w:color="auto"/>
        <w:left w:val="none" w:sz="0" w:space="0" w:color="auto"/>
        <w:bottom w:val="none" w:sz="0" w:space="0" w:color="auto"/>
        <w:right w:val="none" w:sz="0" w:space="0" w:color="auto"/>
      </w:divBdr>
    </w:div>
    <w:div w:id="1677881518">
      <w:bodyDiv w:val="1"/>
      <w:marLeft w:val="0"/>
      <w:marRight w:val="0"/>
      <w:marTop w:val="0"/>
      <w:marBottom w:val="0"/>
      <w:divBdr>
        <w:top w:val="none" w:sz="0" w:space="0" w:color="auto"/>
        <w:left w:val="none" w:sz="0" w:space="0" w:color="auto"/>
        <w:bottom w:val="none" w:sz="0" w:space="0" w:color="auto"/>
        <w:right w:val="none" w:sz="0" w:space="0" w:color="auto"/>
      </w:divBdr>
    </w:div>
    <w:div w:id="1678651192">
      <w:bodyDiv w:val="1"/>
      <w:marLeft w:val="0"/>
      <w:marRight w:val="0"/>
      <w:marTop w:val="0"/>
      <w:marBottom w:val="0"/>
      <w:divBdr>
        <w:top w:val="none" w:sz="0" w:space="0" w:color="auto"/>
        <w:left w:val="none" w:sz="0" w:space="0" w:color="auto"/>
        <w:bottom w:val="none" w:sz="0" w:space="0" w:color="auto"/>
        <w:right w:val="none" w:sz="0" w:space="0" w:color="auto"/>
      </w:divBdr>
    </w:div>
    <w:div w:id="1682320514">
      <w:bodyDiv w:val="1"/>
      <w:marLeft w:val="0"/>
      <w:marRight w:val="0"/>
      <w:marTop w:val="0"/>
      <w:marBottom w:val="0"/>
      <w:divBdr>
        <w:top w:val="none" w:sz="0" w:space="0" w:color="auto"/>
        <w:left w:val="none" w:sz="0" w:space="0" w:color="auto"/>
        <w:bottom w:val="none" w:sz="0" w:space="0" w:color="auto"/>
        <w:right w:val="none" w:sz="0" w:space="0" w:color="auto"/>
      </w:divBdr>
    </w:div>
    <w:div w:id="1683820621">
      <w:bodyDiv w:val="1"/>
      <w:marLeft w:val="0"/>
      <w:marRight w:val="0"/>
      <w:marTop w:val="0"/>
      <w:marBottom w:val="0"/>
      <w:divBdr>
        <w:top w:val="none" w:sz="0" w:space="0" w:color="auto"/>
        <w:left w:val="none" w:sz="0" w:space="0" w:color="auto"/>
        <w:bottom w:val="none" w:sz="0" w:space="0" w:color="auto"/>
        <w:right w:val="none" w:sz="0" w:space="0" w:color="auto"/>
      </w:divBdr>
    </w:div>
    <w:div w:id="1687169282">
      <w:bodyDiv w:val="1"/>
      <w:marLeft w:val="0"/>
      <w:marRight w:val="0"/>
      <w:marTop w:val="0"/>
      <w:marBottom w:val="0"/>
      <w:divBdr>
        <w:top w:val="none" w:sz="0" w:space="0" w:color="auto"/>
        <w:left w:val="none" w:sz="0" w:space="0" w:color="auto"/>
        <w:bottom w:val="none" w:sz="0" w:space="0" w:color="auto"/>
        <w:right w:val="none" w:sz="0" w:space="0" w:color="auto"/>
      </w:divBdr>
    </w:div>
    <w:div w:id="1692872080">
      <w:bodyDiv w:val="1"/>
      <w:marLeft w:val="0"/>
      <w:marRight w:val="0"/>
      <w:marTop w:val="0"/>
      <w:marBottom w:val="0"/>
      <w:divBdr>
        <w:top w:val="none" w:sz="0" w:space="0" w:color="auto"/>
        <w:left w:val="none" w:sz="0" w:space="0" w:color="auto"/>
        <w:bottom w:val="none" w:sz="0" w:space="0" w:color="auto"/>
        <w:right w:val="none" w:sz="0" w:space="0" w:color="auto"/>
      </w:divBdr>
    </w:div>
    <w:div w:id="1695230121">
      <w:bodyDiv w:val="1"/>
      <w:marLeft w:val="0"/>
      <w:marRight w:val="0"/>
      <w:marTop w:val="0"/>
      <w:marBottom w:val="0"/>
      <w:divBdr>
        <w:top w:val="none" w:sz="0" w:space="0" w:color="auto"/>
        <w:left w:val="none" w:sz="0" w:space="0" w:color="auto"/>
        <w:bottom w:val="none" w:sz="0" w:space="0" w:color="auto"/>
        <w:right w:val="none" w:sz="0" w:space="0" w:color="auto"/>
      </w:divBdr>
    </w:div>
    <w:div w:id="1700011763">
      <w:bodyDiv w:val="1"/>
      <w:marLeft w:val="0"/>
      <w:marRight w:val="0"/>
      <w:marTop w:val="0"/>
      <w:marBottom w:val="0"/>
      <w:divBdr>
        <w:top w:val="none" w:sz="0" w:space="0" w:color="auto"/>
        <w:left w:val="none" w:sz="0" w:space="0" w:color="auto"/>
        <w:bottom w:val="none" w:sz="0" w:space="0" w:color="auto"/>
        <w:right w:val="none" w:sz="0" w:space="0" w:color="auto"/>
      </w:divBdr>
    </w:div>
    <w:div w:id="1700620199">
      <w:bodyDiv w:val="1"/>
      <w:marLeft w:val="0"/>
      <w:marRight w:val="0"/>
      <w:marTop w:val="0"/>
      <w:marBottom w:val="0"/>
      <w:divBdr>
        <w:top w:val="none" w:sz="0" w:space="0" w:color="auto"/>
        <w:left w:val="none" w:sz="0" w:space="0" w:color="auto"/>
        <w:bottom w:val="none" w:sz="0" w:space="0" w:color="auto"/>
        <w:right w:val="none" w:sz="0" w:space="0" w:color="auto"/>
      </w:divBdr>
    </w:div>
    <w:div w:id="1708724240">
      <w:bodyDiv w:val="1"/>
      <w:marLeft w:val="0"/>
      <w:marRight w:val="0"/>
      <w:marTop w:val="0"/>
      <w:marBottom w:val="0"/>
      <w:divBdr>
        <w:top w:val="none" w:sz="0" w:space="0" w:color="auto"/>
        <w:left w:val="none" w:sz="0" w:space="0" w:color="auto"/>
        <w:bottom w:val="none" w:sz="0" w:space="0" w:color="auto"/>
        <w:right w:val="none" w:sz="0" w:space="0" w:color="auto"/>
      </w:divBdr>
    </w:div>
    <w:div w:id="1719234174">
      <w:bodyDiv w:val="1"/>
      <w:marLeft w:val="0"/>
      <w:marRight w:val="0"/>
      <w:marTop w:val="0"/>
      <w:marBottom w:val="0"/>
      <w:divBdr>
        <w:top w:val="none" w:sz="0" w:space="0" w:color="auto"/>
        <w:left w:val="none" w:sz="0" w:space="0" w:color="auto"/>
        <w:bottom w:val="none" w:sz="0" w:space="0" w:color="auto"/>
        <w:right w:val="none" w:sz="0" w:space="0" w:color="auto"/>
      </w:divBdr>
    </w:div>
    <w:div w:id="1728449708">
      <w:bodyDiv w:val="1"/>
      <w:marLeft w:val="0"/>
      <w:marRight w:val="0"/>
      <w:marTop w:val="0"/>
      <w:marBottom w:val="0"/>
      <w:divBdr>
        <w:top w:val="none" w:sz="0" w:space="0" w:color="auto"/>
        <w:left w:val="none" w:sz="0" w:space="0" w:color="auto"/>
        <w:bottom w:val="none" w:sz="0" w:space="0" w:color="auto"/>
        <w:right w:val="none" w:sz="0" w:space="0" w:color="auto"/>
      </w:divBdr>
    </w:div>
    <w:div w:id="1730108155">
      <w:bodyDiv w:val="1"/>
      <w:marLeft w:val="0"/>
      <w:marRight w:val="0"/>
      <w:marTop w:val="0"/>
      <w:marBottom w:val="0"/>
      <w:divBdr>
        <w:top w:val="none" w:sz="0" w:space="0" w:color="auto"/>
        <w:left w:val="none" w:sz="0" w:space="0" w:color="auto"/>
        <w:bottom w:val="none" w:sz="0" w:space="0" w:color="auto"/>
        <w:right w:val="none" w:sz="0" w:space="0" w:color="auto"/>
      </w:divBdr>
    </w:div>
    <w:div w:id="1731147021">
      <w:bodyDiv w:val="1"/>
      <w:marLeft w:val="0"/>
      <w:marRight w:val="0"/>
      <w:marTop w:val="0"/>
      <w:marBottom w:val="0"/>
      <w:divBdr>
        <w:top w:val="none" w:sz="0" w:space="0" w:color="auto"/>
        <w:left w:val="none" w:sz="0" w:space="0" w:color="auto"/>
        <w:bottom w:val="none" w:sz="0" w:space="0" w:color="auto"/>
        <w:right w:val="none" w:sz="0" w:space="0" w:color="auto"/>
      </w:divBdr>
    </w:div>
    <w:div w:id="1732189558">
      <w:bodyDiv w:val="1"/>
      <w:marLeft w:val="0"/>
      <w:marRight w:val="0"/>
      <w:marTop w:val="0"/>
      <w:marBottom w:val="0"/>
      <w:divBdr>
        <w:top w:val="none" w:sz="0" w:space="0" w:color="auto"/>
        <w:left w:val="none" w:sz="0" w:space="0" w:color="auto"/>
        <w:bottom w:val="none" w:sz="0" w:space="0" w:color="auto"/>
        <w:right w:val="none" w:sz="0" w:space="0" w:color="auto"/>
      </w:divBdr>
    </w:div>
    <w:div w:id="1737892212">
      <w:bodyDiv w:val="1"/>
      <w:marLeft w:val="0"/>
      <w:marRight w:val="0"/>
      <w:marTop w:val="0"/>
      <w:marBottom w:val="0"/>
      <w:divBdr>
        <w:top w:val="none" w:sz="0" w:space="0" w:color="auto"/>
        <w:left w:val="none" w:sz="0" w:space="0" w:color="auto"/>
        <w:bottom w:val="none" w:sz="0" w:space="0" w:color="auto"/>
        <w:right w:val="none" w:sz="0" w:space="0" w:color="auto"/>
      </w:divBdr>
    </w:div>
    <w:div w:id="1744569177">
      <w:bodyDiv w:val="1"/>
      <w:marLeft w:val="0"/>
      <w:marRight w:val="0"/>
      <w:marTop w:val="0"/>
      <w:marBottom w:val="0"/>
      <w:divBdr>
        <w:top w:val="none" w:sz="0" w:space="0" w:color="auto"/>
        <w:left w:val="none" w:sz="0" w:space="0" w:color="auto"/>
        <w:bottom w:val="none" w:sz="0" w:space="0" w:color="auto"/>
        <w:right w:val="none" w:sz="0" w:space="0" w:color="auto"/>
      </w:divBdr>
    </w:div>
    <w:div w:id="1745107541">
      <w:bodyDiv w:val="1"/>
      <w:marLeft w:val="0"/>
      <w:marRight w:val="0"/>
      <w:marTop w:val="0"/>
      <w:marBottom w:val="0"/>
      <w:divBdr>
        <w:top w:val="none" w:sz="0" w:space="0" w:color="auto"/>
        <w:left w:val="none" w:sz="0" w:space="0" w:color="auto"/>
        <w:bottom w:val="none" w:sz="0" w:space="0" w:color="auto"/>
        <w:right w:val="none" w:sz="0" w:space="0" w:color="auto"/>
      </w:divBdr>
    </w:div>
    <w:div w:id="1749109673">
      <w:bodyDiv w:val="1"/>
      <w:marLeft w:val="0"/>
      <w:marRight w:val="0"/>
      <w:marTop w:val="0"/>
      <w:marBottom w:val="0"/>
      <w:divBdr>
        <w:top w:val="none" w:sz="0" w:space="0" w:color="auto"/>
        <w:left w:val="none" w:sz="0" w:space="0" w:color="auto"/>
        <w:bottom w:val="none" w:sz="0" w:space="0" w:color="auto"/>
        <w:right w:val="none" w:sz="0" w:space="0" w:color="auto"/>
      </w:divBdr>
    </w:div>
    <w:div w:id="1749300678">
      <w:bodyDiv w:val="1"/>
      <w:marLeft w:val="0"/>
      <w:marRight w:val="0"/>
      <w:marTop w:val="0"/>
      <w:marBottom w:val="0"/>
      <w:divBdr>
        <w:top w:val="none" w:sz="0" w:space="0" w:color="auto"/>
        <w:left w:val="none" w:sz="0" w:space="0" w:color="auto"/>
        <w:bottom w:val="none" w:sz="0" w:space="0" w:color="auto"/>
        <w:right w:val="none" w:sz="0" w:space="0" w:color="auto"/>
      </w:divBdr>
    </w:div>
    <w:div w:id="1751583187">
      <w:bodyDiv w:val="1"/>
      <w:marLeft w:val="0"/>
      <w:marRight w:val="0"/>
      <w:marTop w:val="0"/>
      <w:marBottom w:val="0"/>
      <w:divBdr>
        <w:top w:val="none" w:sz="0" w:space="0" w:color="auto"/>
        <w:left w:val="none" w:sz="0" w:space="0" w:color="auto"/>
        <w:bottom w:val="none" w:sz="0" w:space="0" w:color="auto"/>
        <w:right w:val="none" w:sz="0" w:space="0" w:color="auto"/>
      </w:divBdr>
    </w:div>
    <w:div w:id="1754427574">
      <w:bodyDiv w:val="1"/>
      <w:marLeft w:val="0"/>
      <w:marRight w:val="0"/>
      <w:marTop w:val="0"/>
      <w:marBottom w:val="0"/>
      <w:divBdr>
        <w:top w:val="none" w:sz="0" w:space="0" w:color="auto"/>
        <w:left w:val="none" w:sz="0" w:space="0" w:color="auto"/>
        <w:bottom w:val="none" w:sz="0" w:space="0" w:color="auto"/>
        <w:right w:val="none" w:sz="0" w:space="0" w:color="auto"/>
      </w:divBdr>
    </w:div>
    <w:div w:id="1759015735">
      <w:bodyDiv w:val="1"/>
      <w:marLeft w:val="0"/>
      <w:marRight w:val="0"/>
      <w:marTop w:val="0"/>
      <w:marBottom w:val="0"/>
      <w:divBdr>
        <w:top w:val="none" w:sz="0" w:space="0" w:color="auto"/>
        <w:left w:val="none" w:sz="0" w:space="0" w:color="auto"/>
        <w:bottom w:val="none" w:sz="0" w:space="0" w:color="auto"/>
        <w:right w:val="none" w:sz="0" w:space="0" w:color="auto"/>
      </w:divBdr>
    </w:div>
    <w:div w:id="1759978286">
      <w:bodyDiv w:val="1"/>
      <w:marLeft w:val="0"/>
      <w:marRight w:val="0"/>
      <w:marTop w:val="0"/>
      <w:marBottom w:val="0"/>
      <w:divBdr>
        <w:top w:val="none" w:sz="0" w:space="0" w:color="auto"/>
        <w:left w:val="none" w:sz="0" w:space="0" w:color="auto"/>
        <w:bottom w:val="none" w:sz="0" w:space="0" w:color="auto"/>
        <w:right w:val="none" w:sz="0" w:space="0" w:color="auto"/>
      </w:divBdr>
    </w:div>
    <w:div w:id="1764648387">
      <w:bodyDiv w:val="1"/>
      <w:marLeft w:val="0"/>
      <w:marRight w:val="0"/>
      <w:marTop w:val="0"/>
      <w:marBottom w:val="0"/>
      <w:divBdr>
        <w:top w:val="none" w:sz="0" w:space="0" w:color="auto"/>
        <w:left w:val="none" w:sz="0" w:space="0" w:color="auto"/>
        <w:bottom w:val="none" w:sz="0" w:space="0" w:color="auto"/>
        <w:right w:val="none" w:sz="0" w:space="0" w:color="auto"/>
      </w:divBdr>
    </w:div>
    <w:div w:id="1788037862">
      <w:bodyDiv w:val="1"/>
      <w:marLeft w:val="0"/>
      <w:marRight w:val="0"/>
      <w:marTop w:val="0"/>
      <w:marBottom w:val="0"/>
      <w:divBdr>
        <w:top w:val="none" w:sz="0" w:space="0" w:color="auto"/>
        <w:left w:val="none" w:sz="0" w:space="0" w:color="auto"/>
        <w:bottom w:val="none" w:sz="0" w:space="0" w:color="auto"/>
        <w:right w:val="none" w:sz="0" w:space="0" w:color="auto"/>
      </w:divBdr>
    </w:div>
    <w:div w:id="1792168179">
      <w:bodyDiv w:val="1"/>
      <w:marLeft w:val="0"/>
      <w:marRight w:val="0"/>
      <w:marTop w:val="0"/>
      <w:marBottom w:val="0"/>
      <w:divBdr>
        <w:top w:val="none" w:sz="0" w:space="0" w:color="auto"/>
        <w:left w:val="none" w:sz="0" w:space="0" w:color="auto"/>
        <w:bottom w:val="none" w:sz="0" w:space="0" w:color="auto"/>
        <w:right w:val="none" w:sz="0" w:space="0" w:color="auto"/>
      </w:divBdr>
    </w:div>
    <w:div w:id="1796831028">
      <w:bodyDiv w:val="1"/>
      <w:marLeft w:val="0"/>
      <w:marRight w:val="0"/>
      <w:marTop w:val="0"/>
      <w:marBottom w:val="0"/>
      <w:divBdr>
        <w:top w:val="none" w:sz="0" w:space="0" w:color="auto"/>
        <w:left w:val="none" w:sz="0" w:space="0" w:color="auto"/>
        <w:bottom w:val="none" w:sz="0" w:space="0" w:color="auto"/>
        <w:right w:val="none" w:sz="0" w:space="0" w:color="auto"/>
      </w:divBdr>
    </w:div>
    <w:div w:id="1810827720">
      <w:bodyDiv w:val="1"/>
      <w:marLeft w:val="0"/>
      <w:marRight w:val="0"/>
      <w:marTop w:val="0"/>
      <w:marBottom w:val="0"/>
      <w:divBdr>
        <w:top w:val="none" w:sz="0" w:space="0" w:color="auto"/>
        <w:left w:val="none" w:sz="0" w:space="0" w:color="auto"/>
        <w:bottom w:val="none" w:sz="0" w:space="0" w:color="auto"/>
        <w:right w:val="none" w:sz="0" w:space="0" w:color="auto"/>
      </w:divBdr>
    </w:div>
    <w:div w:id="1815561342">
      <w:bodyDiv w:val="1"/>
      <w:marLeft w:val="0"/>
      <w:marRight w:val="0"/>
      <w:marTop w:val="0"/>
      <w:marBottom w:val="0"/>
      <w:divBdr>
        <w:top w:val="none" w:sz="0" w:space="0" w:color="auto"/>
        <w:left w:val="none" w:sz="0" w:space="0" w:color="auto"/>
        <w:bottom w:val="none" w:sz="0" w:space="0" w:color="auto"/>
        <w:right w:val="none" w:sz="0" w:space="0" w:color="auto"/>
      </w:divBdr>
    </w:div>
    <w:div w:id="1827353476">
      <w:bodyDiv w:val="1"/>
      <w:marLeft w:val="0"/>
      <w:marRight w:val="0"/>
      <w:marTop w:val="0"/>
      <w:marBottom w:val="0"/>
      <w:divBdr>
        <w:top w:val="none" w:sz="0" w:space="0" w:color="auto"/>
        <w:left w:val="none" w:sz="0" w:space="0" w:color="auto"/>
        <w:bottom w:val="none" w:sz="0" w:space="0" w:color="auto"/>
        <w:right w:val="none" w:sz="0" w:space="0" w:color="auto"/>
      </w:divBdr>
    </w:div>
    <w:div w:id="1827746364">
      <w:bodyDiv w:val="1"/>
      <w:marLeft w:val="0"/>
      <w:marRight w:val="0"/>
      <w:marTop w:val="0"/>
      <w:marBottom w:val="0"/>
      <w:divBdr>
        <w:top w:val="none" w:sz="0" w:space="0" w:color="auto"/>
        <w:left w:val="none" w:sz="0" w:space="0" w:color="auto"/>
        <w:bottom w:val="none" w:sz="0" w:space="0" w:color="auto"/>
        <w:right w:val="none" w:sz="0" w:space="0" w:color="auto"/>
      </w:divBdr>
    </w:div>
    <w:div w:id="1830753425">
      <w:bodyDiv w:val="1"/>
      <w:marLeft w:val="0"/>
      <w:marRight w:val="0"/>
      <w:marTop w:val="0"/>
      <w:marBottom w:val="0"/>
      <w:divBdr>
        <w:top w:val="none" w:sz="0" w:space="0" w:color="auto"/>
        <w:left w:val="none" w:sz="0" w:space="0" w:color="auto"/>
        <w:bottom w:val="none" w:sz="0" w:space="0" w:color="auto"/>
        <w:right w:val="none" w:sz="0" w:space="0" w:color="auto"/>
      </w:divBdr>
    </w:div>
    <w:div w:id="1832519181">
      <w:bodyDiv w:val="1"/>
      <w:marLeft w:val="0"/>
      <w:marRight w:val="0"/>
      <w:marTop w:val="0"/>
      <w:marBottom w:val="0"/>
      <w:divBdr>
        <w:top w:val="none" w:sz="0" w:space="0" w:color="auto"/>
        <w:left w:val="none" w:sz="0" w:space="0" w:color="auto"/>
        <w:bottom w:val="none" w:sz="0" w:space="0" w:color="auto"/>
        <w:right w:val="none" w:sz="0" w:space="0" w:color="auto"/>
      </w:divBdr>
    </w:div>
    <w:div w:id="1833325398">
      <w:bodyDiv w:val="1"/>
      <w:marLeft w:val="0"/>
      <w:marRight w:val="0"/>
      <w:marTop w:val="0"/>
      <w:marBottom w:val="0"/>
      <w:divBdr>
        <w:top w:val="none" w:sz="0" w:space="0" w:color="auto"/>
        <w:left w:val="none" w:sz="0" w:space="0" w:color="auto"/>
        <w:bottom w:val="none" w:sz="0" w:space="0" w:color="auto"/>
        <w:right w:val="none" w:sz="0" w:space="0" w:color="auto"/>
      </w:divBdr>
    </w:div>
    <w:div w:id="1834056185">
      <w:bodyDiv w:val="1"/>
      <w:marLeft w:val="0"/>
      <w:marRight w:val="0"/>
      <w:marTop w:val="0"/>
      <w:marBottom w:val="0"/>
      <w:divBdr>
        <w:top w:val="none" w:sz="0" w:space="0" w:color="auto"/>
        <w:left w:val="none" w:sz="0" w:space="0" w:color="auto"/>
        <w:bottom w:val="none" w:sz="0" w:space="0" w:color="auto"/>
        <w:right w:val="none" w:sz="0" w:space="0" w:color="auto"/>
      </w:divBdr>
    </w:div>
    <w:div w:id="1841119556">
      <w:bodyDiv w:val="1"/>
      <w:marLeft w:val="0"/>
      <w:marRight w:val="0"/>
      <w:marTop w:val="0"/>
      <w:marBottom w:val="0"/>
      <w:divBdr>
        <w:top w:val="none" w:sz="0" w:space="0" w:color="auto"/>
        <w:left w:val="none" w:sz="0" w:space="0" w:color="auto"/>
        <w:bottom w:val="none" w:sz="0" w:space="0" w:color="auto"/>
        <w:right w:val="none" w:sz="0" w:space="0" w:color="auto"/>
      </w:divBdr>
    </w:div>
    <w:div w:id="1844473511">
      <w:bodyDiv w:val="1"/>
      <w:marLeft w:val="0"/>
      <w:marRight w:val="0"/>
      <w:marTop w:val="0"/>
      <w:marBottom w:val="0"/>
      <w:divBdr>
        <w:top w:val="none" w:sz="0" w:space="0" w:color="auto"/>
        <w:left w:val="none" w:sz="0" w:space="0" w:color="auto"/>
        <w:bottom w:val="none" w:sz="0" w:space="0" w:color="auto"/>
        <w:right w:val="none" w:sz="0" w:space="0" w:color="auto"/>
      </w:divBdr>
    </w:div>
    <w:div w:id="1858538655">
      <w:bodyDiv w:val="1"/>
      <w:marLeft w:val="0"/>
      <w:marRight w:val="0"/>
      <w:marTop w:val="0"/>
      <w:marBottom w:val="0"/>
      <w:divBdr>
        <w:top w:val="none" w:sz="0" w:space="0" w:color="auto"/>
        <w:left w:val="none" w:sz="0" w:space="0" w:color="auto"/>
        <w:bottom w:val="none" w:sz="0" w:space="0" w:color="auto"/>
        <w:right w:val="none" w:sz="0" w:space="0" w:color="auto"/>
      </w:divBdr>
    </w:div>
    <w:div w:id="1858887254">
      <w:bodyDiv w:val="1"/>
      <w:marLeft w:val="0"/>
      <w:marRight w:val="0"/>
      <w:marTop w:val="0"/>
      <w:marBottom w:val="0"/>
      <w:divBdr>
        <w:top w:val="none" w:sz="0" w:space="0" w:color="auto"/>
        <w:left w:val="none" w:sz="0" w:space="0" w:color="auto"/>
        <w:bottom w:val="none" w:sz="0" w:space="0" w:color="auto"/>
        <w:right w:val="none" w:sz="0" w:space="0" w:color="auto"/>
      </w:divBdr>
    </w:div>
    <w:div w:id="1863543597">
      <w:bodyDiv w:val="1"/>
      <w:marLeft w:val="0"/>
      <w:marRight w:val="0"/>
      <w:marTop w:val="0"/>
      <w:marBottom w:val="0"/>
      <w:divBdr>
        <w:top w:val="none" w:sz="0" w:space="0" w:color="auto"/>
        <w:left w:val="none" w:sz="0" w:space="0" w:color="auto"/>
        <w:bottom w:val="none" w:sz="0" w:space="0" w:color="auto"/>
        <w:right w:val="none" w:sz="0" w:space="0" w:color="auto"/>
      </w:divBdr>
    </w:div>
    <w:div w:id="1865287222">
      <w:bodyDiv w:val="1"/>
      <w:marLeft w:val="0"/>
      <w:marRight w:val="0"/>
      <w:marTop w:val="0"/>
      <w:marBottom w:val="0"/>
      <w:divBdr>
        <w:top w:val="none" w:sz="0" w:space="0" w:color="auto"/>
        <w:left w:val="none" w:sz="0" w:space="0" w:color="auto"/>
        <w:bottom w:val="none" w:sz="0" w:space="0" w:color="auto"/>
        <w:right w:val="none" w:sz="0" w:space="0" w:color="auto"/>
      </w:divBdr>
    </w:div>
    <w:div w:id="1868057257">
      <w:bodyDiv w:val="1"/>
      <w:marLeft w:val="0"/>
      <w:marRight w:val="0"/>
      <w:marTop w:val="0"/>
      <w:marBottom w:val="0"/>
      <w:divBdr>
        <w:top w:val="none" w:sz="0" w:space="0" w:color="auto"/>
        <w:left w:val="none" w:sz="0" w:space="0" w:color="auto"/>
        <w:bottom w:val="none" w:sz="0" w:space="0" w:color="auto"/>
        <w:right w:val="none" w:sz="0" w:space="0" w:color="auto"/>
      </w:divBdr>
    </w:div>
    <w:div w:id="1880700392">
      <w:bodyDiv w:val="1"/>
      <w:marLeft w:val="0"/>
      <w:marRight w:val="0"/>
      <w:marTop w:val="0"/>
      <w:marBottom w:val="0"/>
      <w:divBdr>
        <w:top w:val="none" w:sz="0" w:space="0" w:color="auto"/>
        <w:left w:val="none" w:sz="0" w:space="0" w:color="auto"/>
        <w:bottom w:val="none" w:sz="0" w:space="0" w:color="auto"/>
        <w:right w:val="none" w:sz="0" w:space="0" w:color="auto"/>
      </w:divBdr>
    </w:div>
    <w:div w:id="1881550509">
      <w:bodyDiv w:val="1"/>
      <w:marLeft w:val="0"/>
      <w:marRight w:val="0"/>
      <w:marTop w:val="0"/>
      <w:marBottom w:val="0"/>
      <w:divBdr>
        <w:top w:val="none" w:sz="0" w:space="0" w:color="auto"/>
        <w:left w:val="none" w:sz="0" w:space="0" w:color="auto"/>
        <w:bottom w:val="none" w:sz="0" w:space="0" w:color="auto"/>
        <w:right w:val="none" w:sz="0" w:space="0" w:color="auto"/>
      </w:divBdr>
    </w:div>
    <w:div w:id="1887059146">
      <w:bodyDiv w:val="1"/>
      <w:marLeft w:val="0"/>
      <w:marRight w:val="0"/>
      <w:marTop w:val="0"/>
      <w:marBottom w:val="0"/>
      <w:divBdr>
        <w:top w:val="none" w:sz="0" w:space="0" w:color="auto"/>
        <w:left w:val="none" w:sz="0" w:space="0" w:color="auto"/>
        <w:bottom w:val="none" w:sz="0" w:space="0" w:color="auto"/>
        <w:right w:val="none" w:sz="0" w:space="0" w:color="auto"/>
      </w:divBdr>
    </w:div>
    <w:div w:id="1887838400">
      <w:bodyDiv w:val="1"/>
      <w:marLeft w:val="0"/>
      <w:marRight w:val="0"/>
      <w:marTop w:val="0"/>
      <w:marBottom w:val="0"/>
      <w:divBdr>
        <w:top w:val="none" w:sz="0" w:space="0" w:color="auto"/>
        <w:left w:val="none" w:sz="0" w:space="0" w:color="auto"/>
        <w:bottom w:val="none" w:sz="0" w:space="0" w:color="auto"/>
        <w:right w:val="none" w:sz="0" w:space="0" w:color="auto"/>
      </w:divBdr>
    </w:div>
    <w:div w:id="1889369448">
      <w:bodyDiv w:val="1"/>
      <w:marLeft w:val="0"/>
      <w:marRight w:val="0"/>
      <w:marTop w:val="0"/>
      <w:marBottom w:val="0"/>
      <w:divBdr>
        <w:top w:val="none" w:sz="0" w:space="0" w:color="auto"/>
        <w:left w:val="none" w:sz="0" w:space="0" w:color="auto"/>
        <w:bottom w:val="none" w:sz="0" w:space="0" w:color="auto"/>
        <w:right w:val="none" w:sz="0" w:space="0" w:color="auto"/>
      </w:divBdr>
    </w:div>
    <w:div w:id="1893619096">
      <w:bodyDiv w:val="1"/>
      <w:marLeft w:val="0"/>
      <w:marRight w:val="0"/>
      <w:marTop w:val="0"/>
      <w:marBottom w:val="0"/>
      <w:divBdr>
        <w:top w:val="none" w:sz="0" w:space="0" w:color="auto"/>
        <w:left w:val="none" w:sz="0" w:space="0" w:color="auto"/>
        <w:bottom w:val="none" w:sz="0" w:space="0" w:color="auto"/>
        <w:right w:val="none" w:sz="0" w:space="0" w:color="auto"/>
      </w:divBdr>
    </w:div>
    <w:div w:id="1900702542">
      <w:bodyDiv w:val="1"/>
      <w:marLeft w:val="0"/>
      <w:marRight w:val="0"/>
      <w:marTop w:val="0"/>
      <w:marBottom w:val="0"/>
      <w:divBdr>
        <w:top w:val="none" w:sz="0" w:space="0" w:color="auto"/>
        <w:left w:val="none" w:sz="0" w:space="0" w:color="auto"/>
        <w:bottom w:val="none" w:sz="0" w:space="0" w:color="auto"/>
        <w:right w:val="none" w:sz="0" w:space="0" w:color="auto"/>
      </w:divBdr>
    </w:div>
    <w:div w:id="1903368937">
      <w:bodyDiv w:val="1"/>
      <w:marLeft w:val="0"/>
      <w:marRight w:val="0"/>
      <w:marTop w:val="0"/>
      <w:marBottom w:val="0"/>
      <w:divBdr>
        <w:top w:val="none" w:sz="0" w:space="0" w:color="auto"/>
        <w:left w:val="none" w:sz="0" w:space="0" w:color="auto"/>
        <w:bottom w:val="none" w:sz="0" w:space="0" w:color="auto"/>
        <w:right w:val="none" w:sz="0" w:space="0" w:color="auto"/>
      </w:divBdr>
    </w:div>
    <w:div w:id="1906180188">
      <w:bodyDiv w:val="1"/>
      <w:marLeft w:val="0"/>
      <w:marRight w:val="0"/>
      <w:marTop w:val="0"/>
      <w:marBottom w:val="0"/>
      <w:divBdr>
        <w:top w:val="none" w:sz="0" w:space="0" w:color="auto"/>
        <w:left w:val="none" w:sz="0" w:space="0" w:color="auto"/>
        <w:bottom w:val="none" w:sz="0" w:space="0" w:color="auto"/>
        <w:right w:val="none" w:sz="0" w:space="0" w:color="auto"/>
      </w:divBdr>
    </w:div>
    <w:div w:id="1917014079">
      <w:bodyDiv w:val="1"/>
      <w:marLeft w:val="0"/>
      <w:marRight w:val="0"/>
      <w:marTop w:val="0"/>
      <w:marBottom w:val="0"/>
      <w:divBdr>
        <w:top w:val="none" w:sz="0" w:space="0" w:color="auto"/>
        <w:left w:val="none" w:sz="0" w:space="0" w:color="auto"/>
        <w:bottom w:val="none" w:sz="0" w:space="0" w:color="auto"/>
        <w:right w:val="none" w:sz="0" w:space="0" w:color="auto"/>
      </w:divBdr>
    </w:div>
    <w:div w:id="1918662181">
      <w:bodyDiv w:val="1"/>
      <w:marLeft w:val="0"/>
      <w:marRight w:val="0"/>
      <w:marTop w:val="0"/>
      <w:marBottom w:val="0"/>
      <w:divBdr>
        <w:top w:val="none" w:sz="0" w:space="0" w:color="auto"/>
        <w:left w:val="none" w:sz="0" w:space="0" w:color="auto"/>
        <w:bottom w:val="none" w:sz="0" w:space="0" w:color="auto"/>
        <w:right w:val="none" w:sz="0" w:space="0" w:color="auto"/>
      </w:divBdr>
    </w:div>
    <w:div w:id="1922368043">
      <w:bodyDiv w:val="1"/>
      <w:marLeft w:val="0"/>
      <w:marRight w:val="0"/>
      <w:marTop w:val="0"/>
      <w:marBottom w:val="0"/>
      <w:divBdr>
        <w:top w:val="none" w:sz="0" w:space="0" w:color="auto"/>
        <w:left w:val="none" w:sz="0" w:space="0" w:color="auto"/>
        <w:bottom w:val="none" w:sz="0" w:space="0" w:color="auto"/>
        <w:right w:val="none" w:sz="0" w:space="0" w:color="auto"/>
      </w:divBdr>
    </w:div>
    <w:div w:id="1922443245">
      <w:bodyDiv w:val="1"/>
      <w:marLeft w:val="0"/>
      <w:marRight w:val="0"/>
      <w:marTop w:val="0"/>
      <w:marBottom w:val="0"/>
      <w:divBdr>
        <w:top w:val="none" w:sz="0" w:space="0" w:color="auto"/>
        <w:left w:val="none" w:sz="0" w:space="0" w:color="auto"/>
        <w:bottom w:val="none" w:sz="0" w:space="0" w:color="auto"/>
        <w:right w:val="none" w:sz="0" w:space="0" w:color="auto"/>
      </w:divBdr>
    </w:div>
    <w:div w:id="1924341860">
      <w:bodyDiv w:val="1"/>
      <w:marLeft w:val="0"/>
      <w:marRight w:val="0"/>
      <w:marTop w:val="0"/>
      <w:marBottom w:val="0"/>
      <w:divBdr>
        <w:top w:val="none" w:sz="0" w:space="0" w:color="auto"/>
        <w:left w:val="none" w:sz="0" w:space="0" w:color="auto"/>
        <w:bottom w:val="none" w:sz="0" w:space="0" w:color="auto"/>
        <w:right w:val="none" w:sz="0" w:space="0" w:color="auto"/>
      </w:divBdr>
    </w:div>
    <w:div w:id="1934698671">
      <w:bodyDiv w:val="1"/>
      <w:marLeft w:val="0"/>
      <w:marRight w:val="0"/>
      <w:marTop w:val="0"/>
      <w:marBottom w:val="0"/>
      <w:divBdr>
        <w:top w:val="none" w:sz="0" w:space="0" w:color="auto"/>
        <w:left w:val="none" w:sz="0" w:space="0" w:color="auto"/>
        <w:bottom w:val="none" w:sz="0" w:space="0" w:color="auto"/>
        <w:right w:val="none" w:sz="0" w:space="0" w:color="auto"/>
      </w:divBdr>
    </w:div>
    <w:div w:id="1938050299">
      <w:bodyDiv w:val="1"/>
      <w:marLeft w:val="0"/>
      <w:marRight w:val="0"/>
      <w:marTop w:val="0"/>
      <w:marBottom w:val="0"/>
      <w:divBdr>
        <w:top w:val="none" w:sz="0" w:space="0" w:color="auto"/>
        <w:left w:val="none" w:sz="0" w:space="0" w:color="auto"/>
        <w:bottom w:val="none" w:sz="0" w:space="0" w:color="auto"/>
        <w:right w:val="none" w:sz="0" w:space="0" w:color="auto"/>
      </w:divBdr>
    </w:div>
    <w:div w:id="1938320691">
      <w:bodyDiv w:val="1"/>
      <w:marLeft w:val="0"/>
      <w:marRight w:val="0"/>
      <w:marTop w:val="0"/>
      <w:marBottom w:val="0"/>
      <w:divBdr>
        <w:top w:val="none" w:sz="0" w:space="0" w:color="auto"/>
        <w:left w:val="none" w:sz="0" w:space="0" w:color="auto"/>
        <w:bottom w:val="none" w:sz="0" w:space="0" w:color="auto"/>
        <w:right w:val="none" w:sz="0" w:space="0" w:color="auto"/>
      </w:divBdr>
    </w:div>
    <w:div w:id="1939753169">
      <w:bodyDiv w:val="1"/>
      <w:marLeft w:val="0"/>
      <w:marRight w:val="0"/>
      <w:marTop w:val="0"/>
      <w:marBottom w:val="0"/>
      <w:divBdr>
        <w:top w:val="none" w:sz="0" w:space="0" w:color="auto"/>
        <w:left w:val="none" w:sz="0" w:space="0" w:color="auto"/>
        <w:bottom w:val="none" w:sz="0" w:space="0" w:color="auto"/>
        <w:right w:val="none" w:sz="0" w:space="0" w:color="auto"/>
      </w:divBdr>
    </w:div>
    <w:div w:id="1940067093">
      <w:bodyDiv w:val="1"/>
      <w:marLeft w:val="0"/>
      <w:marRight w:val="0"/>
      <w:marTop w:val="0"/>
      <w:marBottom w:val="0"/>
      <w:divBdr>
        <w:top w:val="none" w:sz="0" w:space="0" w:color="auto"/>
        <w:left w:val="none" w:sz="0" w:space="0" w:color="auto"/>
        <w:bottom w:val="none" w:sz="0" w:space="0" w:color="auto"/>
        <w:right w:val="none" w:sz="0" w:space="0" w:color="auto"/>
      </w:divBdr>
    </w:div>
    <w:div w:id="1949003962">
      <w:bodyDiv w:val="1"/>
      <w:marLeft w:val="0"/>
      <w:marRight w:val="0"/>
      <w:marTop w:val="0"/>
      <w:marBottom w:val="0"/>
      <w:divBdr>
        <w:top w:val="none" w:sz="0" w:space="0" w:color="auto"/>
        <w:left w:val="none" w:sz="0" w:space="0" w:color="auto"/>
        <w:bottom w:val="none" w:sz="0" w:space="0" w:color="auto"/>
        <w:right w:val="none" w:sz="0" w:space="0" w:color="auto"/>
      </w:divBdr>
    </w:div>
    <w:div w:id="1950164764">
      <w:bodyDiv w:val="1"/>
      <w:marLeft w:val="0"/>
      <w:marRight w:val="0"/>
      <w:marTop w:val="0"/>
      <w:marBottom w:val="0"/>
      <w:divBdr>
        <w:top w:val="none" w:sz="0" w:space="0" w:color="auto"/>
        <w:left w:val="none" w:sz="0" w:space="0" w:color="auto"/>
        <w:bottom w:val="none" w:sz="0" w:space="0" w:color="auto"/>
        <w:right w:val="none" w:sz="0" w:space="0" w:color="auto"/>
      </w:divBdr>
    </w:div>
    <w:div w:id="1955088472">
      <w:bodyDiv w:val="1"/>
      <w:marLeft w:val="0"/>
      <w:marRight w:val="0"/>
      <w:marTop w:val="0"/>
      <w:marBottom w:val="0"/>
      <w:divBdr>
        <w:top w:val="none" w:sz="0" w:space="0" w:color="auto"/>
        <w:left w:val="none" w:sz="0" w:space="0" w:color="auto"/>
        <w:bottom w:val="none" w:sz="0" w:space="0" w:color="auto"/>
        <w:right w:val="none" w:sz="0" w:space="0" w:color="auto"/>
      </w:divBdr>
    </w:div>
    <w:div w:id="1960799595">
      <w:bodyDiv w:val="1"/>
      <w:marLeft w:val="0"/>
      <w:marRight w:val="0"/>
      <w:marTop w:val="0"/>
      <w:marBottom w:val="0"/>
      <w:divBdr>
        <w:top w:val="none" w:sz="0" w:space="0" w:color="auto"/>
        <w:left w:val="none" w:sz="0" w:space="0" w:color="auto"/>
        <w:bottom w:val="none" w:sz="0" w:space="0" w:color="auto"/>
        <w:right w:val="none" w:sz="0" w:space="0" w:color="auto"/>
      </w:divBdr>
    </w:div>
    <w:div w:id="1963418497">
      <w:bodyDiv w:val="1"/>
      <w:marLeft w:val="0"/>
      <w:marRight w:val="0"/>
      <w:marTop w:val="0"/>
      <w:marBottom w:val="0"/>
      <w:divBdr>
        <w:top w:val="none" w:sz="0" w:space="0" w:color="auto"/>
        <w:left w:val="none" w:sz="0" w:space="0" w:color="auto"/>
        <w:bottom w:val="none" w:sz="0" w:space="0" w:color="auto"/>
        <w:right w:val="none" w:sz="0" w:space="0" w:color="auto"/>
      </w:divBdr>
    </w:div>
    <w:div w:id="1967083454">
      <w:bodyDiv w:val="1"/>
      <w:marLeft w:val="0"/>
      <w:marRight w:val="0"/>
      <w:marTop w:val="0"/>
      <w:marBottom w:val="0"/>
      <w:divBdr>
        <w:top w:val="none" w:sz="0" w:space="0" w:color="auto"/>
        <w:left w:val="none" w:sz="0" w:space="0" w:color="auto"/>
        <w:bottom w:val="none" w:sz="0" w:space="0" w:color="auto"/>
        <w:right w:val="none" w:sz="0" w:space="0" w:color="auto"/>
      </w:divBdr>
    </w:div>
    <w:div w:id="1980840160">
      <w:bodyDiv w:val="1"/>
      <w:marLeft w:val="0"/>
      <w:marRight w:val="0"/>
      <w:marTop w:val="0"/>
      <w:marBottom w:val="0"/>
      <w:divBdr>
        <w:top w:val="none" w:sz="0" w:space="0" w:color="auto"/>
        <w:left w:val="none" w:sz="0" w:space="0" w:color="auto"/>
        <w:bottom w:val="none" w:sz="0" w:space="0" w:color="auto"/>
        <w:right w:val="none" w:sz="0" w:space="0" w:color="auto"/>
      </w:divBdr>
    </w:div>
    <w:div w:id="1985042053">
      <w:bodyDiv w:val="1"/>
      <w:marLeft w:val="0"/>
      <w:marRight w:val="0"/>
      <w:marTop w:val="0"/>
      <w:marBottom w:val="0"/>
      <w:divBdr>
        <w:top w:val="none" w:sz="0" w:space="0" w:color="auto"/>
        <w:left w:val="none" w:sz="0" w:space="0" w:color="auto"/>
        <w:bottom w:val="none" w:sz="0" w:space="0" w:color="auto"/>
        <w:right w:val="none" w:sz="0" w:space="0" w:color="auto"/>
      </w:divBdr>
    </w:div>
    <w:div w:id="1987583739">
      <w:bodyDiv w:val="1"/>
      <w:marLeft w:val="0"/>
      <w:marRight w:val="0"/>
      <w:marTop w:val="0"/>
      <w:marBottom w:val="0"/>
      <w:divBdr>
        <w:top w:val="none" w:sz="0" w:space="0" w:color="auto"/>
        <w:left w:val="none" w:sz="0" w:space="0" w:color="auto"/>
        <w:bottom w:val="none" w:sz="0" w:space="0" w:color="auto"/>
        <w:right w:val="none" w:sz="0" w:space="0" w:color="auto"/>
      </w:divBdr>
    </w:div>
    <w:div w:id="1990866962">
      <w:bodyDiv w:val="1"/>
      <w:marLeft w:val="0"/>
      <w:marRight w:val="0"/>
      <w:marTop w:val="0"/>
      <w:marBottom w:val="0"/>
      <w:divBdr>
        <w:top w:val="none" w:sz="0" w:space="0" w:color="auto"/>
        <w:left w:val="none" w:sz="0" w:space="0" w:color="auto"/>
        <w:bottom w:val="none" w:sz="0" w:space="0" w:color="auto"/>
        <w:right w:val="none" w:sz="0" w:space="0" w:color="auto"/>
      </w:divBdr>
    </w:div>
    <w:div w:id="1999654671">
      <w:bodyDiv w:val="1"/>
      <w:marLeft w:val="0"/>
      <w:marRight w:val="0"/>
      <w:marTop w:val="0"/>
      <w:marBottom w:val="0"/>
      <w:divBdr>
        <w:top w:val="none" w:sz="0" w:space="0" w:color="auto"/>
        <w:left w:val="none" w:sz="0" w:space="0" w:color="auto"/>
        <w:bottom w:val="none" w:sz="0" w:space="0" w:color="auto"/>
        <w:right w:val="none" w:sz="0" w:space="0" w:color="auto"/>
      </w:divBdr>
    </w:div>
    <w:div w:id="2002615028">
      <w:bodyDiv w:val="1"/>
      <w:marLeft w:val="0"/>
      <w:marRight w:val="0"/>
      <w:marTop w:val="0"/>
      <w:marBottom w:val="0"/>
      <w:divBdr>
        <w:top w:val="none" w:sz="0" w:space="0" w:color="auto"/>
        <w:left w:val="none" w:sz="0" w:space="0" w:color="auto"/>
        <w:bottom w:val="none" w:sz="0" w:space="0" w:color="auto"/>
        <w:right w:val="none" w:sz="0" w:space="0" w:color="auto"/>
      </w:divBdr>
    </w:div>
    <w:div w:id="2006124340">
      <w:bodyDiv w:val="1"/>
      <w:marLeft w:val="0"/>
      <w:marRight w:val="0"/>
      <w:marTop w:val="0"/>
      <w:marBottom w:val="0"/>
      <w:divBdr>
        <w:top w:val="none" w:sz="0" w:space="0" w:color="auto"/>
        <w:left w:val="none" w:sz="0" w:space="0" w:color="auto"/>
        <w:bottom w:val="none" w:sz="0" w:space="0" w:color="auto"/>
        <w:right w:val="none" w:sz="0" w:space="0" w:color="auto"/>
      </w:divBdr>
    </w:div>
    <w:div w:id="2007858050">
      <w:bodyDiv w:val="1"/>
      <w:marLeft w:val="0"/>
      <w:marRight w:val="0"/>
      <w:marTop w:val="0"/>
      <w:marBottom w:val="0"/>
      <w:divBdr>
        <w:top w:val="none" w:sz="0" w:space="0" w:color="auto"/>
        <w:left w:val="none" w:sz="0" w:space="0" w:color="auto"/>
        <w:bottom w:val="none" w:sz="0" w:space="0" w:color="auto"/>
        <w:right w:val="none" w:sz="0" w:space="0" w:color="auto"/>
      </w:divBdr>
    </w:div>
    <w:div w:id="2010399061">
      <w:bodyDiv w:val="1"/>
      <w:marLeft w:val="0"/>
      <w:marRight w:val="0"/>
      <w:marTop w:val="0"/>
      <w:marBottom w:val="0"/>
      <w:divBdr>
        <w:top w:val="none" w:sz="0" w:space="0" w:color="auto"/>
        <w:left w:val="none" w:sz="0" w:space="0" w:color="auto"/>
        <w:bottom w:val="none" w:sz="0" w:space="0" w:color="auto"/>
        <w:right w:val="none" w:sz="0" w:space="0" w:color="auto"/>
      </w:divBdr>
    </w:div>
    <w:div w:id="2014449173">
      <w:bodyDiv w:val="1"/>
      <w:marLeft w:val="0"/>
      <w:marRight w:val="0"/>
      <w:marTop w:val="0"/>
      <w:marBottom w:val="0"/>
      <w:divBdr>
        <w:top w:val="none" w:sz="0" w:space="0" w:color="auto"/>
        <w:left w:val="none" w:sz="0" w:space="0" w:color="auto"/>
        <w:bottom w:val="none" w:sz="0" w:space="0" w:color="auto"/>
        <w:right w:val="none" w:sz="0" w:space="0" w:color="auto"/>
      </w:divBdr>
    </w:div>
    <w:div w:id="2015299532">
      <w:bodyDiv w:val="1"/>
      <w:marLeft w:val="0"/>
      <w:marRight w:val="0"/>
      <w:marTop w:val="0"/>
      <w:marBottom w:val="0"/>
      <w:divBdr>
        <w:top w:val="none" w:sz="0" w:space="0" w:color="auto"/>
        <w:left w:val="none" w:sz="0" w:space="0" w:color="auto"/>
        <w:bottom w:val="none" w:sz="0" w:space="0" w:color="auto"/>
        <w:right w:val="none" w:sz="0" w:space="0" w:color="auto"/>
      </w:divBdr>
    </w:div>
    <w:div w:id="2017345724">
      <w:bodyDiv w:val="1"/>
      <w:marLeft w:val="0"/>
      <w:marRight w:val="0"/>
      <w:marTop w:val="0"/>
      <w:marBottom w:val="0"/>
      <w:divBdr>
        <w:top w:val="none" w:sz="0" w:space="0" w:color="auto"/>
        <w:left w:val="none" w:sz="0" w:space="0" w:color="auto"/>
        <w:bottom w:val="none" w:sz="0" w:space="0" w:color="auto"/>
        <w:right w:val="none" w:sz="0" w:space="0" w:color="auto"/>
      </w:divBdr>
    </w:div>
    <w:div w:id="2025747372">
      <w:bodyDiv w:val="1"/>
      <w:marLeft w:val="0"/>
      <w:marRight w:val="0"/>
      <w:marTop w:val="0"/>
      <w:marBottom w:val="0"/>
      <w:divBdr>
        <w:top w:val="none" w:sz="0" w:space="0" w:color="auto"/>
        <w:left w:val="none" w:sz="0" w:space="0" w:color="auto"/>
        <w:bottom w:val="none" w:sz="0" w:space="0" w:color="auto"/>
        <w:right w:val="none" w:sz="0" w:space="0" w:color="auto"/>
      </w:divBdr>
    </w:div>
    <w:div w:id="2027713677">
      <w:bodyDiv w:val="1"/>
      <w:marLeft w:val="0"/>
      <w:marRight w:val="0"/>
      <w:marTop w:val="0"/>
      <w:marBottom w:val="0"/>
      <w:divBdr>
        <w:top w:val="none" w:sz="0" w:space="0" w:color="auto"/>
        <w:left w:val="none" w:sz="0" w:space="0" w:color="auto"/>
        <w:bottom w:val="none" w:sz="0" w:space="0" w:color="auto"/>
        <w:right w:val="none" w:sz="0" w:space="0" w:color="auto"/>
      </w:divBdr>
    </w:div>
    <w:div w:id="2028485221">
      <w:bodyDiv w:val="1"/>
      <w:marLeft w:val="0"/>
      <w:marRight w:val="0"/>
      <w:marTop w:val="0"/>
      <w:marBottom w:val="0"/>
      <w:divBdr>
        <w:top w:val="none" w:sz="0" w:space="0" w:color="auto"/>
        <w:left w:val="none" w:sz="0" w:space="0" w:color="auto"/>
        <w:bottom w:val="none" w:sz="0" w:space="0" w:color="auto"/>
        <w:right w:val="none" w:sz="0" w:space="0" w:color="auto"/>
      </w:divBdr>
    </w:div>
    <w:div w:id="2038578037">
      <w:bodyDiv w:val="1"/>
      <w:marLeft w:val="0"/>
      <w:marRight w:val="0"/>
      <w:marTop w:val="0"/>
      <w:marBottom w:val="0"/>
      <w:divBdr>
        <w:top w:val="none" w:sz="0" w:space="0" w:color="auto"/>
        <w:left w:val="none" w:sz="0" w:space="0" w:color="auto"/>
        <w:bottom w:val="none" w:sz="0" w:space="0" w:color="auto"/>
        <w:right w:val="none" w:sz="0" w:space="0" w:color="auto"/>
      </w:divBdr>
    </w:div>
    <w:div w:id="2040739637">
      <w:bodyDiv w:val="1"/>
      <w:marLeft w:val="0"/>
      <w:marRight w:val="0"/>
      <w:marTop w:val="0"/>
      <w:marBottom w:val="0"/>
      <w:divBdr>
        <w:top w:val="none" w:sz="0" w:space="0" w:color="auto"/>
        <w:left w:val="none" w:sz="0" w:space="0" w:color="auto"/>
        <w:bottom w:val="none" w:sz="0" w:space="0" w:color="auto"/>
        <w:right w:val="none" w:sz="0" w:space="0" w:color="auto"/>
      </w:divBdr>
    </w:div>
    <w:div w:id="2047412409">
      <w:bodyDiv w:val="1"/>
      <w:marLeft w:val="0"/>
      <w:marRight w:val="0"/>
      <w:marTop w:val="0"/>
      <w:marBottom w:val="0"/>
      <w:divBdr>
        <w:top w:val="none" w:sz="0" w:space="0" w:color="auto"/>
        <w:left w:val="none" w:sz="0" w:space="0" w:color="auto"/>
        <w:bottom w:val="none" w:sz="0" w:space="0" w:color="auto"/>
        <w:right w:val="none" w:sz="0" w:space="0" w:color="auto"/>
      </w:divBdr>
    </w:div>
    <w:div w:id="2047557842">
      <w:bodyDiv w:val="1"/>
      <w:marLeft w:val="0"/>
      <w:marRight w:val="0"/>
      <w:marTop w:val="0"/>
      <w:marBottom w:val="0"/>
      <w:divBdr>
        <w:top w:val="none" w:sz="0" w:space="0" w:color="auto"/>
        <w:left w:val="none" w:sz="0" w:space="0" w:color="auto"/>
        <w:bottom w:val="none" w:sz="0" w:space="0" w:color="auto"/>
        <w:right w:val="none" w:sz="0" w:space="0" w:color="auto"/>
      </w:divBdr>
    </w:div>
    <w:div w:id="2048216497">
      <w:bodyDiv w:val="1"/>
      <w:marLeft w:val="0"/>
      <w:marRight w:val="0"/>
      <w:marTop w:val="0"/>
      <w:marBottom w:val="0"/>
      <w:divBdr>
        <w:top w:val="none" w:sz="0" w:space="0" w:color="auto"/>
        <w:left w:val="none" w:sz="0" w:space="0" w:color="auto"/>
        <w:bottom w:val="none" w:sz="0" w:space="0" w:color="auto"/>
        <w:right w:val="none" w:sz="0" w:space="0" w:color="auto"/>
      </w:divBdr>
    </w:div>
    <w:div w:id="2050570225">
      <w:bodyDiv w:val="1"/>
      <w:marLeft w:val="0"/>
      <w:marRight w:val="0"/>
      <w:marTop w:val="0"/>
      <w:marBottom w:val="0"/>
      <w:divBdr>
        <w:top w:val="none" w:sz="0" w:space="0" w:color="auto"/>
        <w:left w:val="none" w:sz="0" w:space="0" w:color="auto"/>
        <w:bottom w:val="none" w:sz="0" w:space="0" w:color="auto"/>
        <w:right w:val="none" w:sz="0" w:space="0" w:color="auto"/>
      </w:divBdr>
    </w:div>
    <w:div w:id="2051029683">
      <w:bodyDiv w:val="1"/>
      <w:marLeft w:val="0"/>
      <w:marRight w:val="0"/>
      <w:marTop w:val="0"/>
      <w:marBottom w:val="0"/>
      <w:divBdr>
        <w:top w:val="none" w:sz="0" w:space="0" w:color="auto"/>
        <w:left w:val="none" w:sz="0" w:space="0" w:color="auto"/>
        <w:bottom w:val="none" w:sz="0" w:space="0" w:color="auto"/>
        <w:right w:val="none" w:sz="0" w:space="0" w:color="auto"/>
      </w:divBdr>
    </w:div>
    <w:div w:id="2051487371">
      <w:bodyDiv w:val="1"/>
      <w:marLeft w:val="0"/>
      <w:marRight w:val="0"/>
      <w:marTop w:val="0"/>
      <w:marBottom w:val="0"/>
      <w:divBdr>
        <w:top w:val="none" w:sz="0" w:space="0" w:color="auto"/>
        <w:left w:val="none" w:sz="0" w:space="0" w:color="auto"/>
        <w:bottom w:val="none" w:sz="0" w:space="0" w:color="auto"/>
        <w:right w:val="none" w:sz="0" w:space="0" w:color="auto"/>
      </w:divBdr>
    </w:div>
    <w:div w:id="2053191409">
      <w:bodyDiv w:val="1"/>
      <w:marLeft w:val="0"/>
      <w:marRight w:val="0"/>
      <w:marTop w:val="0"/>
      <w:marBottom w:val="0"/>
      <w:divBdr>
        <w:top w:val="none" w:sz="0" w:space="0" w:color="auto"/>
        <w:left w:val="none" w:sz="0" w:space="0" w:color="auto"/>
        <w:bottom w:val="none" w:sz="0" w:space="0" w:color="auto"/>
        <w:right w:val="none" w:sz="0" w:space="0" w:color="auto"/>
      </w:divBdr>
    </w:div>
    <w:div w:id="2063282542">
      <w:bodyDiv w:val="1"/>
      <w:marLeft w:val="0"/>
      <w:marRight w:val="0"/>
      <w:marTop w:val="0"/>
      <w:marBottom w:val="0"/>
      <w:divBdr>
        <w:top w:val="none" w:sz="0" w:space="0" w:color="auto"/>
        <w:left w:val="none" w:sz="0" w:space="0" w:color="auto"/>
        <w:bottom w:val="none" w:sz="0" w:space="0" w:color="auto"/>
        <w:right w:val="none" w:sz="0" w:space="0" w:color="auto"/>
      </w:divBdr>
    </w:div>
    <w:div w:id="2068676495">
      <w:bodyDiv w:val="1"/>
      <w:marLeft w:val="0"/>
      <w:marRight w:val="0"/>
      <w:marTop w:val="0"/>
      <w:marBottom w:val="0"/>
      <w:divBdr>
        <w:top w:val="none" w:sz="0" w:space="0" w:color="auto"/>
        <w:left w:val="none" w:sz="0" w:space="0" w:color="auto"/>
        <w:bottom w:val="none" w:sz="0" w:space="0" w:color="auto"/>
        <w:right w:val="none" w:sz="0" w:space="0" w:color="auto"/>
      </w:divBdr>
    </w:div>
    <w:div w:id="2072848985">
      <w:bodyDiv w:val="1"/>
      <w:marLeft w:val="0"/>
      <w:marRight w:val="0"/>
      <w:marTop w:val="0"/>
      <w:marBottom w:val="0"/>
      <w:divBdr>
        <w:top w:val="none" w:sz="0" w:space="0" w:color="auto"/>
        <w:left w:val="none" w:sz="0" w:space="0" w:color="auto"/>
        <w:bottom w:val="none" w:sz="0" w:space="0" w:color="auto"/>
        <w:right w:val="none" w:sz="0" w:space="0" w:color="auto"/>
      </w:divBdr>
    </w:div>
    <w:div w:id="2073775479">
      <w:bodyDiv w:val="1"/>
      <w:marLeft w:val="0"/>
      <w:marRight w:val="0"/>
      <w:marTop w:val="0"/>
      <w:marBottom w:val="0"/>
      <w:divBdr>
        <w:top w:val="none" w:sz="0" w:space="0" w:color="auto"/>
        <w:left w:val="none" w:sz="0" w:space="0" w:color="auto"/>
        <w:bottom w:val="none" w:sz="0" w:space="0" w:color="auto"/>
        <w:right w:val="none" w:sz="0" w:space="0" w:color="auto"/>
      </w:divBdr>
    </w:div>
    <w:div w:id="2074355381">
      <w:bodyDiv w:val="1"/>
      <w:marLeft w:val="0"/>
      <w:marRight w:val="0"/>
      <w:marTop w:val="0"/>
      <w:marBottom w:val="0"/>
      <w:divBdr>
        <w:top w:val="none" w:sz="0" w:space="0" w:color="auto"/>
        <w:left w:val="none" w:sz="0" w:space="0" w:color="auto"/>
        <w:bottom w:val="none" w:sz="0" w:space="0" w:color="auto"/>
        <w:right w:val="none" w:sz="0" w:space="0" w:color="auto"/>
      </w:divBdr>
    </w:div>
    <w:div w:id="2082480430">
      <w:bodyDiv w:val="1"/>
      <w:marLeft w:val="0"/>
      <w:marRight w:val="0"/>
      <w:marTop w:val="0"/>
      <w:marBottom w:val="0"/>
      <w:divBdr>
        <w:top w:val="none" w:sz="0" w:space="0" w:color="auto"/>
        <w:left w:val="none" w:sz="0" w:space="0" w:color="auto"/>
        <w:bottom w:val="none" w:sz="0" w:space="0" w:color="auto"/>
        <w:right w:val="none" w:sz="0" w:space="0" w:color="auto"/>
      </w:divBdr>
    </w:div>
    <w:div w:id="2088183204">
      <w:bodyDiv w:val="1"/>
      <w:marLeft w:val="0"/>
      <w:marRight w:val="0"/>
      <w:marTop w:val="0"/>
      <w:marBottom w:val="0"/>
      <w:divBdr>
        <w:top w:val="none" w:sz="0" w:space="0" w:color="auto"/>
        <w:left w:val="none" w:sz="0" w:space="0" w:color="auto"/>
        <w:bottom w:val="none" w:sz="0" w:space="0" w:color="auto"/>
        <w:right w:val="none" w:sz="0" w:space="0" w:color="auto"/>
      </w:divBdr>
    </w:div>
    <w:div w:id="2092193969">
      <w:bodyDiv w:val="1"/>
      <w:marLeft w:val="0"/>
      <w:marRight w:val="0"/>
      <w:marTop w:val="0"/>
      <w:marBottom w:val="0"/>
      <w:divBdr>
        <w:top w:val="none" w:sz="0" w:space="0" w:color="auto"/>
        <w:left w:val="none" w:sz="0" w:space="0" w:color="auto"/>
        <w:bottom w:val="none" w:sz="0" w:space="0" w:color="auto"/>
        <w:right w:val="none" w:sz="0" w:space="0" w:color="auto"/>
      </w:divBdr>
    </w:div>
    <w:div w:id="2095861641">
      <w:bodyDiv w:val="1"/>
      <w:marLeft w:val="0"/>
      <w:marRight w:val="0"/>
      <w:marTop w:val="0"/>
      <w:marBottom w:val="0"/>
      <w:divBdr>
        <w:top w:val="none" w:sz="0" w:space="0" w:color="auto"/>
        <w:left w:val="none" w:sz="0" w:space="0" w:color="auto"/>
        <w:bottom w:val="none" w:sz="0" w:space="0" w:color="auto"/>
        <w:right w:val="none" w:sz="0" w:space="0" w:color="auto"/>
      </w:divBdr>
    </w:div>
    <w:div w:id="2097751375">
      <w:bodyDiv w:val="1"/>
      <w:marLeft w:val="0"/>
      <w:marRight w:val="0"/>
      <w:marTop w:val="0"/>
      <w:marBottom w:val="0"/>
      <w:divBdr>
        <w:top w:val="none" w:sz="0" w:space="0" w:color="auto"/>
        <w:left w:val="none" w:sz="0" w:space="0" w:color="auto"/>
        <w:bottom w:val="none" w:sz="0" w:space="0" w:color="auto"/>
        <w:right w:val="none" w:sz="0" w:space="0" w:color="auto"/>
      </w:divBdr>
    </w:div>
    <w:div w:id="2098089427">
      <w:bodyDiv w:val="1"/>
      <w:marLeft w:val="0"/>
      <w:marRight w:val="0"/>
      <w:marTop w:val="0"/>
      <w:marBottom w:val="0"/>
      <w:divBdr>
        <w:top w:val="none" w:sz="0" w:space="0" w:color="auto"/>
        <w:left w:val="none" w:sz="0" w:space="0" w:color="auto"/>
        <w:bottom w:val="none" w:sz="0" w:space="0" w:color="auto"/>
        <w:right w:val="none" w:sz="0" w:space="0" w:color="auto"/>
      </w:divBdr>
    </w:div>
    <w:div w:id="2106072044">
      <w:bodyDiv w:val="1"/>
      <w:marLeft w:val="0"/>
      <w:marRight w:val="0"/>
      <w:marTop w:val="0"/>
      <w:marBottom w:val="0"/>
      <w:divBdr>
        <w:top w:val="none" w:sz="0" w:space="0" w:color="auto"/>
        <w:left w:val="none" w:sz="0" w:space="0" w:color="auto"/>
        <w:bottom w:val="none" w:sz="0" w:space="0" w:color="auto"/>
        <w:right w:val="none" w:sz="0" w:space="0" w:color="auto"/>
      </w:divBdr>
    </w:div>
    <w:div w:id="2109962834">
      <w:bodyDiv w:val="1"/>
      <w:marLeft w:val="0"/>
      <w:marRight w:val="0"/>
      <w:marTop w:val="0"/>
      <w:marBottom w:val="0"/>
      <w:divBdr>
        <w:top w:val="none" w:sz="0" w:space="0" w:color="auto"/>
        <w:left w:val="none" w:sz="0" w:space="0" w:color="auto"/>
        <w:bottom w:val="none" w:sz="0" w:space="0" w:color="auto"/>
        <w:right w:val="none" w:sz="0" w:space="0" w:color="auto"/>
      </w:divBdr>
    </w:div>
    <w:div w:id="2114394949">
      <w:bodyDiv w:val="1"/>
      <w:marLeft w:val="0"/>
      <w:marRight w:val="0"/>
      <w:marTop w:val="0"/>
      <w:marBottom w:val="0"/>
      <w:divBdr>
        <w:top w:val="none" w:sz="0" w:space="0" w:color="auto"/>
        <w:left w:val="none" w:sz="0" w:space="0" w:color="auto"/>
        <w:bottom w:val="none" w:sz="0" w:space="0" w:color="auto"/>
        <w:right w:val="none" w:sz="0" w:space="0" w:color="auto"/>
      </w:divBdr>
    </w:div>
    <w:div w:id="2115052020">
      <w:bodyDiv w:val="1"/>
      <w:marLeft w:val="0"/>
      <w:marRight w:val="0"/>
      <w:marTop w:val="0"/>
      <w:marBottom w:val="0"/>
      <w:divBdr>
        <w:top w:val="none" w:sz="0" w:space="0" w:color="auto"/>
        <w:left w:val="none" w:sz="0" w:space="0" w:color="auto"/>
        <w:bottom w:val="none" w:sz="0" w:space="0" w:color="auto"/>
        <w:right w:val="none" w:sz="0" w:space="0" w:color="auto"/>
      </w:divBdr>
    </w:div>
    <w:div w:id="2116319242">
      <w:bodyDiv w:val="1"/>
      <w:marLeft w:val="0"/>
      <w:marRight w:val="0"/>
      <w:marTop w:val="0"/>
      <w:marBottom w:val="0"/>
      <w:divBdr>
        <w:top w:val="none" w:sz="0" w:space="0" w:color="auto"/>
        <w:left w:val="none" w:sz="0" w:space="0" w:color="auto"/>
        <w:bottom w:val="none" w:sz="0" w:space="0" w:color="auto"/>
        <w:right w:val="none" w:sz="0" w:space="0" w:color="auto"/>
      </w:divBdr>
    </w:div>
    <w:div w:id="2120635677">
      <w:bodyDiv w:val="1"/>
      <w:marLeft w:val="0"/>
      <w:marRight w:val="0"/>
      <w:marTop w:val="0"/>
      <w:marBottom w:val="0"/>
      <w:divBdr>
        <w:top w:val="none" w:sz="0" w:space="0" w:color="auto"/>
        <w:left w:val="none" w:sz="0" w:space="0" w:color="auto"/>
        <w:bottom w:val="none" w:sz="0" w:space="0" w:color="auto"/>
        <w:right w:val="none" w:sz="0" w:space="0" w:color="auto"/>
      </w:divBdr>
    </w:div>
    <w:div w:id="2121290751">
      <w:bodyDiv w:val="1"/>
      <w:marLeft w:val="0"/>
      <w:marRight w:val="0"/>
      <w:marTop w:val="0"/>
      <w:marBottom w:val="0"/>
      <w:divBdr>
        <w:top w:val="none" w:sz="0" w:space="0" w:color="auto"/>
        <w:left w:val="none" w:sz="0" w:space="0" w:color="auto"/>
        <w:bottom w:val="none" w:sz="0" w:space="0" w:color="auto"/>
        <w:right w:val="none" w:sz="0" w:space="0" w:color="auto"/>
      </w:divBdr>
    </w:div>
    <w:div w:id="2123307626">
      <w:bodyDiv w:val="1"/>
      <w:marLeft w:val="0"/>
      <w:marRight w:val="0"/>
      <w:marTop w:val="0"/>
      <w:marBottom w:val="0"/>
      <w:divBdr>
        <w:top w:val="none" w:sz="0" w:space="0" w:color="auto"/>
        <w:left w:val="none" w:sz="0" w:space="0" w:color="auto"/>
        <w:bottom w:val="none" w:sz="0" w:space="0" w:color="auto"/>
        <w:right w:val="none" w:sz="0" w:space="0" w:color="auto"/>
      </w:divBdr>
    </w:div>
    <w:div w:id="2124185507">
      <w:bodyDiv w:val="1"/>
      <w:marLeft w:val="0"/>
      <w:marRight w:val="0"/>
      <w:marTop w:val="0"/>
      <w:marBottom w:val="0"/>
      <w:divBdr>
        <w:top w:val="none" w:sz="0" w:space="0" w:color="auto"/>
        <w:left w:val="none" w:sz="0" w:space="0" w:color="auto"/>
        <w:bottom w:val="none" w:sz="0" w:space="0" w:color="auto"/>
        <w:right w:val="none" w:sz="0" w:space="0" w:color="auto"/>
      </w:divBdr>
    </w:div>
    <w:div w:id="2127889882">
      <w:bodyDiv w:val="1"/>
      <w:marLeft w:val="0"/>
      <w:marRight w:val="0"/>
      <w:marTop w:val="0"/>
      <w:marBottom w:val="0"/>
      <w:divBdr>
        <w:top w:val="none" w:sz="0" w:space="0" w:color="auto"/>
        <w:left w:val="none" w:sz="0" w:space="0" w:color="auto"/>
        <w:bottom w:val="none" w:sz="0" w:space="0" w:color="auto"/>
        <w:right w:val="none" w:sz="0" w:space="0" w:color="auto"/>
      </w:divBdr>
    </w:div>
    <w:div w:id="2130463892">
      <w:bodyDiv w:val="1"/>
      <w:marLeft w:val="0"/>
      <w:marRight w:val="0"/>
      <w:marTop w:val="0"/>
      <w:marBottom w:val="0"/>
      <w:divBdr>
        <w:top w:val="none" w:sz="0" w:space="0" w:color="auto"/>
        <w:left w:val="none" w:sz="0" w:space="0" w:color="auto"/>
        <w:bottom w:val="none" w:sz="0" w:space="0" w:color="auto"/>
        <w:right w:val="none" w:sz="0" w:space="0" w:color="auto"/>
      </w:divBdr>
    </w:div>
    <w:div w:id="2131585633">
      <w:bodyDiv w:val="1"/>
      <w:marLeft w:val="0"/>
      <w:marRight w:val="0"/>
      <w:marTop w:val="0"/>
      <w:marBottom w:val="0"/>
      <w:divBdr>
        <w:top w:val="none" w:sz="0" w:space="0" w:color="auto"/>
        <w:left w:val="none" w:sz="0" w:space="0" w:color="auto"/>
        <w:bottom w:val="none" w:sz="0" w:space="0" w:color="auto"/>
        <w:right w:val="none" w:sz="0" w:space="0" w:color="auto"/>
      </w:divBdr>
    </w:div>
    <w:div w:id="2139838750">
      <w:bodyDiv w:val="1"/>
      <w:marLeft w:val="0"/>
      <w:marRight w:val="0"/>
      <w:marTop w:val="0"/>
      <w:marBottom w:val="0"/>
      <w:divBdr>
        <w:top w:val="none" w:sz="0" w:space="0" w:color="auto"/>
        <w:left w:val="none" w:sz="0" w:space="0" w:color="auto"/>
        <w:bottom w:val="none" w:sz="0" w:space="0" w:color="auto"/>
        <w:right w:val="none" w:sz="0" w:space="0" w:color="auto"/>
      </w:divBdr>
    </w:div>
    <w:div w:id="214095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23C8D-05FD-4936-8C27-E100A60C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12900</Words>
  <Characters>70950</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Final</dc:creator>
  <cp:keywords/>
  <dc:description/>
  <cp:lastModifiedBy>Gerardo Garcia Reyes</cp:lastModifiedBy>
  <cp:revision>5</cp:revision>
  <cp:lastPrinted>2022-04-20T21:43:00Z</cp:lastPrinted>
  <dcterms:created xsi:type="dcterms:W3CDTF">2022-04-20T16:14:00Z</dcterms:created>
  <dcterms:modified xsi:type="dcterms:W3CDTF">2022-04-20T21:50:00Z</dcterms:modified>
</cp:coreProperties>
</file>